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C425F" w14:textId="4F568D25" w:rsidR="00EF3176" w:rsidRDefault="00EF3176">
      <w:pPr>
        <w:rPr>
          <w:rFonts w:ascii="Avenir Black" w:hAnsi="Avenir Black"/>
          <w:vertAlign w:val="subscript"/>
        </w:rPr>
      </w:pPr>
    </w:p>
    <w:p w14:paraId="4671A7A5" w14:textId="4773B8D7" w:rsidR="00EF3176" w:rsidRDefault="00EF3176" w:rsidP="00EF3176">
      <w:pPr>
        <w:tabs>
          <w:tab w:val="left" w:pos="8325"/>
        </w:tabs>
        <w:rPr>
          <w:rFonts w:ascii="Avenir Black" w:hAnsi="Avenir Black"/>
        </w:rPr>
      </w:pPr>
      <w:r>
        <w:rPr>
          <w:rFonts w:ascii="Avenir Black" w:hAnsi="Avenir Black"/>
        </w:rPr>
        <w:tab/>
      </w:r>
    </w:p>
    <w:p w14:paraId="0913E83A" w14:textId="77777777" w:rsidR="00EF3176" w:rsidRPr="00EF3176" w:rsidRDefault="00EF3176" w:rsidP="00EF3176">
      <w:pPr>
        <w:rPr>
          <w:rFonts w:ascii="Avenir Black" w:hAnsi="Avenir Black"/>
        </w:rPr>
      </w:pPr>
    </w:p>
    <w:p w14:paraId="0A6BBFBE" w14:textId="77777777" w:rsidR="00EF3176" w:rsidRDefault="00EF3176" w:rsidP="00EF3176">
      <w:pPr>
        <w:rPr>
          <w:rFonts w:ascii="Avenir Black" w:hAnsi="Avenir Black"/>
        </w:rPr>
      </w:pPr>
    </w:p>
    <w:p w14:paraId="53BBB955" w14:textId="77777777" w:rsidR="001B16E5" w:rsidRDefault="001B16E5" w:rsidP="00EF3176">
      <w:pPr>
        <w:rPr>
          <w:rFonts w:ascii="Avenir Black" w:hAnsi="Avenir Black"/>
        </w:rPr>
      </w:pPr>
    </w:p>
    <w:p w14:paraId="6F9B2620" w14:textId="77777777" w:rsidR="009D0939" w:rsidRDefault="009D0939" w:rsidP="00EF3176">
      <w:pPr>
        <w:rPr>
          <w:rFonts w:ascii="Avenir Black" w:hAnsi="Avenir Black"/>
        </w:rPr>
      </w:pPr>
    </w:p>
    <w:p w14:paraId="63711E10" w14:textId="77777777" w:rsidR="005C6399" w:rsidRPr="00EF3176" w:rsidRDefault="005C6399" w:rsidP="00EF3176">
      <w:pPr>
        <w:rPr>
          <w:rFonts w:ascii="Avenir Black" w:hAnsi="Avenir Black"/>
        </w:rPr>
      </w:pPr>
    </w:p>
    <w:p w14:paraId="2452A447" w14:textId="6DF689F5" w:rsidR="007D0E2A" w:rsidRDefault="00EF3176" w:rsidP="009D0939">
      <w:pPr>
        <w:tabs>
          <w:tab w:val="left" w:pos="6510"/>
        </w:tabs>
        <w:rPr>
          <w:rFonts w:ascii="Calibri" w:hAnsi="Calibri" w:cs="Calibri"/>
          <w:sz w:val="22"/>
          <w:szCs w:val="22"/>
        </w:rPr>
      </w:pPr>
      <w:r>
        <w:rPr>
          <w:rFonts w:ascii="Avenir Black" w:hAnsi="Avenir Black"/>
        </w:rPr>
        <w:tab/>
      </w:r>
    </w:p>
    <w:p w14:paraId="4AEAB9DC" w14:textId="1174EBDF" w:rsidR="007D0E2A" w:rsidRPr="007D0E2A" w:rsidRDefault="007D0E2A" w:rsidP="007D0E2A">
      <w:pPr>
        <w:rPr>
          <w:rFonts w:ascii="Calibri" w:hAnsi="Calibri" w:cs="Calibri"/>
          <w:b/>
          <w:bCs/>
          <w:sz w:val="22"/>
          <w:szCs w:val="22"/>
        </w:rPr>
      </w:pPr>
      <w:r w:rsidRPr="007D0E2A">
        <w:rPr>
          <w:rFonts w:ascii="Calibri" w:hAnsi="Calibri" w:cs="Calibri"/>
          <w:b/>
          <w:bCs/>
          <w:sz w:val="22"/>
          <w:szCs w:val="22"/>
        </w:rPr>
        <w:t>PRESSEMITTEILUNG</w:t>
      </w:r>
    </w:p>
    <w:p w14:paraId="03850899" w14:textId="6E104E7B" w:rsidR="00910130" w:rsidRDefault="007D0E2A" w:rsidP="00EF3176">
      <w:pPr>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p>
    <w:p w14:paraId="44F5A123" w14:textId="77777777" w:rsidR="00C76B4E" w:rsidRDefault="00C76B4E" w:rsidP="00EF3176">
      <w:pPr>
        <w:rPr>
          <w:rFonts w:ascii="Calibri" w:hAnsi="Calibri" w:cs="Calibri"/>
          <w:sz w:val="22"/>
          <w:szCs w:val="22"/>
        </w:rPr>
      </w:pPr>
    </w:p>
    <w:p w14:paraId="7CF52587" w14:textId="094DC150" w:rsidR="007D0E2A" w:rsidRPr="007D0E2A" w:rsidRDefault="006446FB" w:rsidP="007D0E2A">
      <w:pPr>
        <w:jc w:val="right"/>
        <w:rPr>
          <w:rFonts w:ascii="Calibri" w:hAnsi="Calibri" w:cs="Calibri"/>
          <w:sz w:val="22"/>
          <w:szCs w:val="22"/>
        </w:rPr>
      </w:pPr>
      <w:r>
        <w:rPr>
          <w:rFonts w:ascii="Calibri" w:hAnsi="Calibri" w:cs="Calibri"/>
          <w:sz w:val="22"/>
          <w:szCs w:val="22"/>
        </w:rPr>
        <w:t>Dezem</w:t>
      </w:r>
      <w:r w:rsidR="00865A6F">
        <w:rPr>
          <w:rFonts w:ascii="Calibri" w:hAnsi="Calibri" w:cs="Calibri"/>
          <w:sz w:val="22"/>
          <w:szCs w:val="22"/>
        </w:rPr>
        <w:t>b</w:t>
      </w:r>
      <w:r w:rsidR="005D0F61">
        <w:rPr>
          <w:rFonts w:ascii="Calibri" w:hAnsi="Calibri" w:cs="Calibri"/>
          <w:sz w:val="22"/>
          <w:szCs w:val="22"/>
        </w:rPr>
        <w:t>e</w:t>
      </w:r>
      <w:r w:rsidR="007D0E2A">
        <w:rPr>
          <w:rFonts w:ascii="Calibri" w:hAnsi="Calibri" w:cs="Calibri"/>
          <w:sz w:val="22"/>
          <w:szCs w:val="22"/>
        </w:rPr>
        <w:t>r 2025</w:t>
      </w:r>
    </w:p>
    <w:p w14:paraId="6AB99485" w14:textId="77777777" w:rsidR="007D0E2A" w:rsidRDefault="007D0E2A" w:rsidP="00EF3176">
      <w:pPr>
        <w:rPr>
          <w:rFonts w:ascii="Calibri" w:hAnsi="Calibri" w:cs="Calibri"/>
          <w:sz w:val="22"/>
          <w:szCs w:val="22"/>
        </w:rPr>
      </w:pPr>
    </w:p>
    <w:p w14:paraId="59C11838" w14:textId="77777777" w:rsidR="001B16E5" w:rsidRDefault="001B16E5" w:rsidP="00EF3176">
      <w:pPr>
        <w:rPr>
          <w:rFonts w:ascii="Calibri" w:hAnsi="Calibri" w:cs="Calibri"/>
          <w:sz w:val="22"/>
          <w:szCs w:val="22"/>
        </w:rPr>
      </w:pPr>
    </w:p>
    <w:p w14:paraId="309DB430" w14:textId="77777777" w:rsidR="005C6399" w:rsidRDefault="005C6399" w:rsidP="00EF3176">
      <w:pPr>
        <w:rPr>
          <w:rFonts w:ascii="Calibri" w:hAnsi="Calibri" w:cs="Calibri"/>
          <w:sz w:val="22"/>
          <w:szCs w:val="22"/>
        </w:rPr>
      </w:pPr>
    </w:p>
    <w:p w14:paraId="75801629" w14:textId="77777777" w:rsidR="00910130" w:rsidRDefault="00910130" w:rsidP="00EF3176">
      <w:pPr>
        <w:rPr>
          <w:rFonts w:ascii="Calibri" w:hAnsi="Calibri" w:cs="Calibri"/>
          <w:sz w:val="22"/>
          <w:szCs w:val="22"/>
        </w:rPr>
      </w:pPr>
    </w:p>
    <w:p w14:paraId="5E58C03E" w14:textId="77777777" w:rsidR="005C6399" w:rsidRPr="005C6399" w:rsidRDefault="005C6399" w:rsidP="005C6399">
      <w:pPr>
        <w:tabs>
          <w:tab w:val="left" w:pos="2625"/>
        </w:tabs>
        <w:rPr>
          <w:rFonts w:ascii="Calibri" w:hAnsi="Calibri" w:cs="Calibri"/>
          <w:b/>
          <w:bCs/>
          <w:sz w:val="36"/>
          <w:szCs w:val="36"/>
        </w:rPr>
      </w:pPr>
      <w:r w:rsidRPr="005C6399">
        <w:rPr>
          <w:rFonts w:ascii="Calibri" w:hAnsi="Calibri" w:cs="Calibri"/>
          <w:b/>
          <w:bCs/>
          <w:sz w:val="36"/>
          <w:szCs w:val="36"/>
        </w:rPr>
        <w:t xml:space="preserve">Neuer Public Health Index: </w:t>
      </w:r>
      <w:r w:rsidRPr="005C6399">
        <w:rPr>
          <w:rFonts w:ascii="Calibri" w:hAnsi="Calibri" w:cs="Calibri"/>
          <w:b/>
          <w:bCs/>
          <w:sz w:val="36"/>
          <w:szCs w:val="36"/>
        </w:rPr>
        <w:br/>
        <w:t xml:space="preserve">Heilbäder fordern ganzheitliche Präventionspolitik </w:t>
      </w:r>
      <w:r w:rsidRPr="005C6399">
        <w:rPr>
          <w:rFonts w:ascii="Calibri" w:hAnsi="Calibri" w:cs="Calibri"/>
          <w:b/>
          <w:bCs/>
          <w:sz w:val="36"/>
          <w:szCs w:val="36"/>
        </w:rPr>
        <w:br/>
        <w:t>statt reiner Steuerdebatte</w:t>
      </w:r>
    </w:p>
    <w:p w14:paraId="327943FC" w14:textId="079992D2" w:rsidR="00A21037" w:rsidRDefault="00A21037" w:rsidP="007D0E2A">
      <w:pPr>
        <w:tabs>
          <w:tab w:val="left" w:pos="2625"/>
        </w:tabs>
        <w:rPr>
          <w:rFonts w:ascii="Calibri" w:hAnsi="Calibri" w:cs="Calibri"/>
          <w:sz w:val="22"/>
          <w:szCs w:val="22"/>
        </w:rPr>
      </w:pPr>
    </w:p>
    <w:p w14:paraId="5FDEA6CB" w14:textId="77777777" w:rsidR="00525F51" w:rsidRPr="00525F51" w:rsidRDefault="00525F51" w:rsidP="00525F51">
      <w:pPr>
        <w:tabs>
          <w:tab w:val="left" w:pos="2625"/>
        </w:tabs>
        <w:rPr>
          <w:rFonts w:ascii="Calibri" w:hAnsi="Calibri" w:cs="Calibri"/>
          <w:i/>
          <w:iCs/>
          <w:sz w:val="22"/>
          <w:szCs w:val="22"/>
        </w:rPr>
      </w:pPr>
    </w:p>
    <w:p w14:paraId="6A95EAC3" w14:textId="77777777" w:rsidR="005C6399" w:rsidRPr="005C6399" w:rsidRDefault="006446FB" w:rsidP="005C6399">
      <w:pPr>
        <w:tabs>
          <w:tab w:val="left" w:pos="2625"/>
        </w:tabs>
        <w:spacing w:line="276" w:lineRule="auto"/>
        <w:jc w:val="both"/>
        <w:rPr>
          <w:rFonts w:ascii="Calibri" w:hAnsi="Calibri" w:cs="Calibri"/>
          <w:b/>
          <w:bCs/>
          <w:sz w:val="22"/>
          <w:szCs w:val="22"/>
        </w:rPr>
      </w:pPr>
      <w:r w:rsidRPr="006446FB">
        <w:rPr>
          <w:rFonts w:ascii="Calibri" w:hAnsi="Calibri" w:cs="Calibri"/>
          <w:sz w:val="22"/>
          <w:szCs w:val="22"/>
        </w:rPr>
        <w:t xml:space="preserve">Bad </w:t>
      </w:r>
      <w:r w:rsidR="005C6399">
        <w:rPr>
          <w:rFonts w:ascii="Calibri" w:hAnsi="Calibri" w:cs="Calibri"/>
          <w:sz w:val="22"/>
          <w:szCs w:val="22"/>
        </w:rPr>
        <w:t>Füssing</w:t>
      </w:r>
      <w:r w:rsidRPr="006446FB">
        <w:rPr>
          <w:rFonts w:ascii="Calibri" w:hAnsi="Calibri" w:cs="Calibri"/>
          <w:sz w:val="22"/>
          <w:szCs w:val="22"/>
        </w:rPr>
        <w:t xml:space="preserve"> </w:t>
      </w:r>
      <w:r w:rsidR="007D0E2A" w:rsidRPr="007D0E2A">
        <w:rPr>
          <w:rFonts w:ascii="Calibri" w:hAnsi="Calibri" w:cs="Calibri"/>
          <w:sz w:val="22"/>
          <w:szCs w:val="22"/>
        </w:rPr>
        <w:t xml:space="preserve">– </w:t>
      </w:r>
      <w:r w:rsidR="005C6399" w:rsidRPr="005C6399">
        <w:rPr>
          <w:rFonts w:ascii="Calibri" w:hAnsi="Calibri" w:cs="Calibri"/>
          <w:b/>
          <w:bCs/>
          <w:sz w:val="22"/>
          <w:szCs w:val="22"/>
        </w:rPr>
        <w:t xml:space="preserve">Deutschland landet im neuen Public Health Index nur auf Platz 17 von 18 europäischen Ländern. Für den Bayerischen Heilbäder-Verband (BHV) ist das ein deutliches Signal – allerdings weniger wegen des Rankings selbst, sondern weil der zugrunde liegende Präventionsbegriff wichtige, bereits vorhandene Strukturen völlig ausblendet. Der Index bewertet vor allem fiskalische Maßnahmen wie Tabak-, Alkohol- oder Zuckersteuern. Ganzheitliche Präventionsangebote, Lebensstilprogramme oder regionale Gesundheitsinfrastrukturen spielen keine Rolle. „Wenn Prävention allein über Steuern definiert wird, bleibt ein zentraler Teil der Gesundheitsvorsorge unsichtbar – nämlich dort, wo Menschen tatsächlich gesünder leben lernen“, betont BHV-Vorsitzender Peter </w:t>
      </w:r>
      <w:proofErr w:type="spellStart"/>
      <w:r w:rsidR="005C6399" w:rsidRPr="005C6399">
        <w:rPr>
          <w:rFonts w:ascii="Calibri" w:hAnsi="Calibri" w:cs="Calibri"/>
          <w:b/>
          <w:bCs/>
          <w:sz w:val="22"/>
          <w:szCs w:val="22"/>
        </w:rPr>
        <w:t>Berek</w:t>
      </w:r>
      <w:proofErr w:type="spellEnd"/>
      <w:r w:rsidR="005C6399" w:rsidRPr="005C6399">
        <w:rPr>
          <w:rFonts w:ascii="Calibri" w:hAnsi="Calibri" w:cs="Calibri"/>
          <w:b/>
          <w:bCs/>
          <w:sz w:val="22"/>
          <w:szCs w:val="22"/>
        </w:rPr>
        <w:t xml:space="preserve">. </w:t>
      </w:r>
    </w:p>
    <w:p w14:paraId="1BDA511F" w14:textId="77777777" w:rsidR="006446FB" w:rsidRPr="00EA1A5B" w:rsidRDefault="006446FB" w:rsidP="00EA1A5B">
      <w:pPr>
        <w:tabs>
          <w:tab w:val="left" w:pos="2625"/>
        </w:tabs>
        <w:spacing w:line="276" w:lineRule="auto"/>
        <w:jc w:val="both"/>
        <w:rPr>
          <w:rFonts w:ascii="Calibri" w:hAnsi="Calibri" w:cs="Calibri"/>
          <w:b/>
          <w:bCs/>
          <w:sz w:val="22"/>
          <w:szCs w:val="22"/>
        </w:rPr>
      </w:pPr>
    </w:p>
    <w:p w14:paraId="1346A282" w14:textId="77777777" w:rsidR="005C6399" w:rsidRPr="005C6399" w:rsidRDefault="005C6399" w:rsidP="005C6399">
      <w:pPr>
        <w:tabs>
          <w:tab w:val="left" w:pos="2625"/>
        </w:tabs>
        <w:spacing w:line="276" w:lineRule="auto"/>
        <w:jc w:val="both"/>
        <w:rPr>
          <w:rFonts w:ascii="Calibri" w:hAnsi="Calibri" w:cs="Calibri"/>
          <w:b/>
          <w:bCs/>
          <w:sz w:val="22"/>
          <w:szCs w:val="22"/>
        </w:rPr>
      </w:pPr>
      <w:r w:rsidRPr="005C6399">
        <w:rPr>
          <w:rFonts w:ascii="Calibri" w:hAnsi="Calibri" w:cs="Calibri"/>
          <w:sz w:val="22"/>
          <w:szCs w:val="22"/>
        </w:rPr>
        <w:t xml:space="preserve">„Unsere Heilbäder zeigen seit Jahrzehnten, wie wirksame Prävention funktioniert: niedrigschwellig, wissenschaftlich fundiert und unmittelbar im Lebensumfeld der Menschen. Diese Potenziale müssen endlich systematisch genutzt werden.“ Dem Bayerischen Heilbäder-Verband gehören mehr als 70 Kurorte, Heilbäder und Kurbetriebe an. Gemeinsam generieren sie rund 23 Millionen Übernachtungen pro Jahr und eine jährliche Wertschöpfung von rund 4,5 Milliarden Euro. </w:t>
      </w:r>
    </w:p>
    <w:p w14:paraId="17D506AF" w14:textId="77777777" w:rsidR="005C6399" w:rsidRPr="005C6399" w:rsidRDefault="005C6399" w:rsidP="005C6399">
      <w:pPr>
        <w:tabs>
          <w:tab w:val="left" w:pos="2625"/>
        </w:tabs>
        <w:spacing w:line="276" w:lineRule="auto"/>
        <w:jc w:val="both"/>
        <w:rPr>
          <w:rFonts w:ascii="Calibri" w:hAnsi="Calibri" w:cs="Calibri"/>
          <w:sz w:val="22"/>
          <w:szCs w:val="22"/>
        </w:rPr>
      </w:pPr>
    </w:p>
    <w:p w14:paraId="5C64FA4F" w14:textId="77777777" w:rsidR="005C6399" w:rsidRDefault="005C6399" w:rsidP="005C6399">
      <w:pPr>
        <w:tabs>
          <w:tab w:val="left" w:pos="2625"/>
        </w:tabs>
        <w:spacing w:line="276" w:lineRule="auto"/>
        <w:jc w:val="both"/>
        <w:rPr>
          <w:rFonts w:ascii="Calibri" w:hAnsi="Calibri" w:cs="Calibri"/>
          <w:sz w:val="22"/>
          <w:szCs w:val="22"/>
        </w:rPr>
      </w:pPr>
      <w:r w:rsidRPr="005C6399">
        <w:rPr>
          <w:rFonts w:ascii="Calibri" w:hAnsi="Calibri" w:cs="Calibri"/>
          <w:sz w:val="22"/>
          <w:szCs w:val="22"/>
        </w:rPr>
        <w:t xml:space="preserve">Die AOK-Bundesvorsitzende Dr. Carola Reimann hatte in einem Interview eine mutige Präventionspolitik gefordert und gleichzeitig über mangelnden politischen Gestaltungswillen und hohen Lobbydruck geklagt. </w:t>
      </w:r>
    </w:p>
    <w:p w14:paraId="3FD3A31A" w14:textId="77777777" w:rsidR="005C6399" w:rsidRDefault="005C6399" w:rsidP="005C6399">
      <w:pPr>
        <w:tabs>
          <w:tab w:val="left" w:pos="2625"/>
        </w:tabs>
        <w:spacing w:line="276" w:lineRule="auto"/>
        <w:jc w:val="both"/>
        <w:rPr>
          <w:rFonts w:ascii="Calibri" w:hAnsi="Calibri" w:cs="Calibri"/>
          <w:sz w:val="22"/>
          <w:szCs w:val="22"/>
        </w:rPr>
      </w:pPr>
    </w:p>
    <w:p w14:paraId="4FC93333" w14:textId="77777777" w:rsidR="005C6399" w:rsidRDefault="005C6399" w:rsidP="005C6399">
      <w:pPr>
        <w:tabs>
          <w:tab w:val="left" w:pos="2625"/>
        </w:tabs>
        <w:spacing w:line="276" w:lineRule="auto"/>
        <w:jc w:val="both"/>
        <w:rPr>
          <w:rFonts w:ascii="Calibri" w:hAnsi="Calibri" w:cs="Calibri"/>
          <w:sz w:val="22"/>
          <w:szCs w:val="22"/>
        </w:rPr>
      </w:pPr>
    </w:p>
    <w:p w14:paraId="3853DF28" w14:textId="77777777" w:rsidR="005C6399" w:rsidRDefault="005C6399" w:rsidP="005C6399">
      <w:pPr>
        <w:tabs>
          <w:tab w:val="left" w:pos="2625"/>
        </w:tabs>
        <w:spacing w:line="276" w:lineRule="auto"/>
        <w:jc w:val="both"/>
        <w:rPr>
          <w:rFonts w:ascii="Calibri" w:hAnsi="Calibri" w:cs="Calibri"/>
          <w:sz w:val="22"/>
          <w:szCs w:val="22"/>
        </w:rPr>
      </w:pPr>
    </w:p>
    <w:p w14:paraId="44F64C5F" w14:textId="77777777" w:rsidR="005C6399" w:rsidRDefault="005C6399" w:rsidP="005C6399">
      <w:pPr>
        <w:tabs>
          <w:tab w:val="left" w:pos="2625"/>
        </w:tabs>
        <w:spacing w:line="276" w:lineRule="auto"/>
        <w:jc w:val="both"/>
        <w:rPr>
          <w:rFonts w:ascii="Calibri" w:hAnsi="Calibri" w:cs="Calibri"/>
          <w:sz w:val="22"/>
          <w:szCs w:val="22"/>
        </w:rPr>
      </w:pPr>
    </w:p>
    <w:p w14:paraId="28D576D1" w14:textId="77777777" w:rsidR="005C6399" w:rsidRDefault="005C6399" w:rsidP="005C6399">
      <w:pPr>
        <w:tabs>
          <w:tab w:val="left" w:pos="2625"/>
        </w:tabs>
        <w:spacing w:line="276" w:lineRule="auto"/>
        <w:jc w:val="both"/>
        <w:rPr>
          <w:rFonts w:ascii="Calibri" w:hAnsi="Calibri" w:cs="Calibri"/>
          <w:sz w:val="22"/>
          <w:szCs w:val="22"/>
        </w:rPr>
      </w:pPr>
    </w:p>
    <w:p w14:paraId="3894C9CB" w14:textId="77777777" w:rsidR="005C6399" w:rsidRDefault="005C6399" w:rsidP="005C6399">
      <w:pPr>
        <w:tabs>
          <w:tab w:val="left" w:pos="2625"/>
        </w:tabs>
        <w:spacing w:line="276" w:lineRule="auto"/>
        <w:jc w:val="both"/>
        <w:rPr>
          <w:rFonts w:ascii="Calibri" w:hAnsi="Calibri" w:cs="Calibri"/>
          <w:sz w:val="22"/>
          <w:szCs w:val="22"/>
        </w:rPr>
      </w:pPr>
    </w:p>
    <w:p w14:paraId="1F9E4D34" w14:textId="77777777" w:rsidR="005C6399" w:rsidRDefault="005C6399" w:rsidP="005C6399">
      <w:pPr>
        <w:tabs>
          <w:tab w:val="left" w:pos="2625"/>
        </w:tabs>
        <w:spacing w:line="276" w:lineRule="auto"/>
        <w:jc w:val="both"/>
        <w:rPr>
          <w:rFonts w:ascii="Calibri" w:hAnsi="Calibri" w:cs="Calibri"/>
          <w:sz w:val="22"/>
          <w:szCs w:val="22"/>
        </w:rPr>
      </w:pPr>
    </w:p>
    <w:p w14:paraId="626E168D" w14:textId="3F0E389A" w:rsidR="005C6399" w:rsidRPr="005C6399" w:rsidRDefault="005C6399" w:rsidP="005C6399">
      <w:pPr>
        <w:tabs>
          <w:tab w:val="left" w:pos="2625"/>
        </w:tabs>
        <w:spacing w:line="276" w:lineRule="auto"/>
        <w:jc w:val="both"/>
        <w:rPr>
          <w:rFonts w:ascii="Calibri" w:hAnsi="Calibri" w:cs="Calibri"/>
          <w:sz w:val="22"/>
          <w:szCs w:val="22"/>
        </w:rPr>
      </w:pPr>
      <w:r w:rsidRPr="005C6399">
        <w:rPr>
          <w:rFonts w:ascii="Calibri" w:hAnsi="Calibri" w:cs="Calibri"/>
          <w:sz w:val="22"/>
          <w:szCs w:val="22"/>
        </w:rPr>
        <w:t xml:space="preserve">Der BHV richtet den Blick auf konkrete Lösungswege, die heute schon bestehen. „Wir verfügen über erprobte Programme zu Bewegung, Ernährung, Stressreduktion und mentaler Gesundheit. Die Infrastruktur ist da, die Wirksamkeit belegt – was fehlt, ist die Einbindung in eine bundesweite Präventionsstrategie durch die Krankenkassen“, sagt Frank </w:t>
      </w:r>
      <w:proofErr w:type="spellStart"/>
      <w:r w:rsidRPr="005C6399">
        <w:rPr>
          <w:rFonts w:ascii="Calibri" w:hAnsi="Calibri" w:cs="Calibri"/>
          <w:sz w:val="22"/>
          <w:szCs w:val="22"/>
        </w:rPr>
        <w:t>Oette</w:t>
      </w:r>
      <w:proofErr w:type="spellEnd"/>
      <w:r w:rsidRPr="005C6399">
        <w:rPr>
          <w:rFonts w:ascii="Calibri" w:hAnsi="Calibri" w:cs="Calibri"/>
          <w:sz w:val="22"/>
          <w:szCs w:val="22"/>
        </w:rPr>
        <w:t>, Geschäftsführer des BHV. „Statt nur über Abgaben zu diskutieren, sollten die Kassen gemeinsam mit uns daran arbeiten, vorhandene Präventionsangebote großflächig zu aktivieren.“</w:t>
      </w:r>
    </w:p>
    <w:p w14:paraId="34641B28" w14:textId="77777777" w:rsidR="005C6399" w:rsidRPr="005C6399" w:rsidRDefault="005C6399" w:rsidP="005C6399">
      <w:pPr>
        <w:tabs>
          <w:tab w:val="left" w:pos="2625"/>
        </w:tabs>
        <w:spacing w:line="276" w:lineRule="auto"/>
        <w:jc w:val="both"/>
        <w:rPr>
          <w:rFonts w:ascii="Calibri" w:hAnsi="Calibri" w:cs="Calibri"/>
          <w:sz w:val="22"/>
          <w:szCs w:val="22"/>
        </w:rPr>
      </w:pPr>
    </w:p>
    <w:p w14:paraId="7F7291A3" w14:textId="77777777" w:rsidR="005C6399" w:rsidRPr="005C6399" w:rsidRDefault="005C6399" w:rsidP="005C6399">
      <w:pPr>
        <w:tabs>
          <w:tab w:val="left" w:pos="2625"/>
        </w:tabs>
        <w:spacing w:line="276" w:lineRule="auto"/>
        <w:jc w:val="both"/>
        <w:rPr>
          <w:rFonts w:ascii="Calibri" w:hAnsi="Calibri" w:cs="Calibri"/>
          <w:sz w:val="22"/>
          <w:szCs w:val="22"/>
        </w:rPr>
      </w:pPr>
      <w:r w:rsidRPr="005C6399">
        <w:rPr>
          <w:rFonts w:ascii="Calibri" w:hAnsi="Calibri" w:cs="Calibri"/>
          <w:sz w:val="22"/>
          <w:szCs w:val="22"/>
        </w:rPr>
        <w:t>Der Verband sieht die Kurorte und Heilbäder als sofort einsetzbare Partner, wenn es darum geht, Prävention aus der Theorie in die Lebenswirklichkeit der Bürgerinnen und Bürger zu bringen. Eine moderne Präventionspolitik müsse fiskalische Maßnahmen mit verhaltens- und verhältnisorientierten Angeboten verbinden – und vorhandene regionale Strukturen dabei strategisch einbeziehen.</w:t>
      </w:r>
    </w:p>
    <w:p w14:paraId="694A1EB0" w14:textId="77777777" w:rsidR="005C6399" w:rsidRPr="005C6399" w:rsidRDefault="005C6399" w:rsidP="005C6399">
      <w:pPr>
        <w:tabs>
          <w:tab w:val="left" w:pos="2625"/>
        </w:tabs>
        <w:spacing w:line="276" w:lineRule="auto"/>
        <w:jc w:val="both"/>
        <w:rPr>
          <w:rFonts w:ascii="Calibri" w:hAnsi="Calibri" w:cs="Calibri"/>
          <w:sz w:val="22"/>
          <w:szCs w:val="22"/>
        </w:rPr>
      </w:pPr>
    </w:p>
    <w:p w14:paraId="5B88252C" w14:textId="77777777" w:rsidR="005C6399" w:rsidRPr="005C6399" w:rsidRDefault="005C6399" w:rsidP="005C6399">
      <w:pPr>
        <w:tabs>
          <w:tab w:val="left" w:pos="2625"/>
        </w:tabs>
        <w:spacing w:line="276" w:lineRule="auto"/>
        <w:jc w:val="both"/>
        <w:rPr>
          <w:rFonts w:ascii="Calibri" w:hAnsi="Calibri" w:cs="Calibri"/>
          <w:sz w:val="22"/>
          <w:szCs w:val="22"/>
        </w:rPr>
      </w:pPr>
      <w:r w:rsidRPr="005C6399">
        <w:rPr>
          <w:rFonts w:ascii="Calibri" w:hAnsi="Calibri" w:cs="Calibri"/>
          <w:sz w:val="22"/>
          <w:szCs w:val="22"/>
        </w:rPr>
        <w:t>Der BHV lädt die Krankenkassen daher zu einem vertieften Austausch ein: Ziel sei es, wirksame Prävention dorthin zu bringen, wo sie am meisten bewirken kann – in den Alltag der Menschen und in die Regionen, die diese Angebote seit langem erfolgreich tragen.</w:t>
      </w:r>
    </w:p>
    <w:sectPr w:rsidR="005C6399" w:rsidRPr="005C6399" w:rsidSect="003B49E7">
      <w:headerReference w:type="default" r:id="rId7"/>
      <w:footerReference w:type="default" r:id="rId8"/>
      <w:pgSz w:w="11900" w:h="16840"/>
      <w:pgMar w:top="1418" w:right="1418" w:bottom="1985" w:left="1418" w:header="0" w:footer="1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D76CF" w14:textId="77777777" w:rsidR="004B616D" w:rsidRDefault="004B616D" w:rsidP="00286D45">
      <w:r>
        <w:separator/>
      </w:r>
    </w:p>
  </w:endnote>
  <w:endnote w:type="continuationSeparator" w:id="0">
    <w:p w14:paraId="7F6CF132" w14:textId="77777777" w:rsidR="004B616D" w:rsidRDefault="004B616D" w:rsidP="00286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inionPro-Regular">
    <w:panose1 w:val="020B0604020202020204"/>
    <w:charset w:val="4D"/>
    <w:family w:val="auto"/>
    <w:notTrueType/>
    <w:pitch w:val="default"/>
    <w:sig w:usb0="00000003" w:usb1="00000000" w:usb2="00000000" w:usb3="00000000" w:csb0="00000001" w:csb1="00000000"/>
  </w:font>
  <w:font w:name="Avenir Black">
    <w:panose1 w:val="020B0803020203020204"/>
    <w:charset w:val="4D"/>
    <w:family w:val="swiss"/>
    <w:pitch w:val="variable"/>
    <w:sig w:usb0="800000AF" w:usb1="5000204A" w:usb2="00000000" w:usb3="00000000" w:csb0="0000009B"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0B426" w14:textId="77777777" w:rsidR="00394F99" w:rsidRDefault="003B49E7" w:rsidP="003B49E7">
    <w:pPr>
      <w:pStyle w:val="Fuzeile"/>
      <w:ind w:left="-1418"/>
    </w:pPr>
    <w:r>
      <w:rPr>
        <w:noProof/>
      </w:rPr>
      <w:drawing>
        <wp:inline distT="0" distB="0" distL="0" distR="0" wp14:anchorId="4FCD3F7A" wp14:editId="100903AA">
          <wp:extent cx="7933527" cy="1536700"/>
          <wp:effectExtent l="0" t="0" r="4445" b="0"/>
          <wp:docPr id="1722972108" name="Grafik 1" descr="Ein Bild, das Text, Screenshot,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85879" name="Grafik 1" descr="Ein Bild, das Text, Screenshot, Schrift, Design enthält.&#10;&#10;Automatisch generierte Beschreibung"/>
                  <pic:cNvPicPr/>
                </pic:nvPicPr>
                <pic:blipFill>
                  <a:blip r:embed="rId1"/>
                  <a:stretch>
                    <a:fillRect/>
                  </a:stretch>
                </pic:blipFill>
                <pic:spPr>
                  <a:xfrm>
                    <a:off x="0" y="0"/>
                    <a:ext cx="7955874" cy="1541029"/>
                  </a:xfrm>
                  <a:prstGeom prst="rect">
                    <a:avLst/>
                  </a:prstGeom>
                </pic:spPr>
              </pic:pic>
            </a:graphicData>
          </a:graphic>
        </wp:inline>
      </w:drawing>
    </w:r>
    <w:r w:rsidR="00394F99">
      <w:rPr>
        <w:noProof/>
      </w:rPr>
      <mc:AlternateContent>
        <mc:Choice Requires="wps">
          <w:drawing>
            <wp:anchor distT="0" distB="0" distL="114300" distR="114300" simplePos="0" relativeHeight="251659264" behindDoc="0" locked="0" layoutInCell="1" allowOverlap="1" wp14:anchorId="2E672BA4" wp14:editId="47020992">
              <wp:simplePos x="0" y="0"/>
              <wp:positionH relativeFrom="column">
                <wp:posOffset>-919480</wp:posOffset>
              </wp:positionH>
              <wp:positionV relativeFrom="margin">
                <wp:align>bottom</wp:align>
              </wp:positionV>
              <wp:extent cx="7585710" cy="0"/>
              <wp:effectExtent l="0" t="50800" r="0" b="50800"/>
              <wp:wrapNone/>
              <wp:docPr id="15" name="Textfeld 15"/>
              <wp:cNvGraphicFramePr/>
              <a:graphic xmlns:a="http://schemas.openxmlformats.org/drawingml/2006/main">
                <a:graphicData uri="http://schemas.microsoft.com/office/word/2010/wordprocessingShape">
                  <wps:wsp>
                    <wps:cNvSpPr txBox="1"/>
                    <wps:spPr>
                      <a:xfrm>
                        <a:off x="0" y="0"/>
                        <a:ext cx="7585710" cy="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2">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672BA4" id="_x0000_t202" coordsize="21600,21600" o:spt="202" path="m,l,21600r21600,l21600,xe">
              <v:stroke joinstyle="miter"/>
              <v:path gradientshapeok="t" o:connecttype="rect"/>
            </v:shapetype>
            <v:shape id="Textfeld 15" o:spid="_x0000_s1027" type="#_x0000_t202" style="position:absolute;left:0;text-align:left;margin-left:-72.4pt;margin-top:0;width:597.3pt;height:0;z-index:251659264;visibility:visible;mso-wrap-style:square;mso-wrap-distance-left:9pt;mso-wrap-distance-top:0;mso-wrap-distance-right:9pt;mso-wrap-distance-bottom:0;mso-position-horizontal:absolute;mso-position-horizontal-relative:text;mso-position-vertical:bottom;mso-position-vertical-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" filled="f" stroked="f">
              <v:textbox>
                <w:txbxContent>
                  <w:p w14:paraId="32A650D4" w14:textId="77777777" w:rsidR="00394F99" w:rsidRDefault="00394F99">
                    <w:r>
                      <w:rPr>
                        <w:noProof/>
                      </w:rPr>
                      <w:drawing>
                        <wp:inline distT="0" distB="0" distL="0" distR="0" wp14:anchorId="58FCFCC0" wp14:editId="7C7924B1">
                          <wp:extent cx="7193280" cy="1127760"/>
                          <wp:effectExtent l="0" t="0" r="0" b="0"/>
                          <wp:docPr id="38302794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erBlock_BHV_0917.jpg"/>
                                  <pic:cNvPicPr/>
                                </pic:nvPicPr>
                                <pic:blipFill>
                                  <a:blip r:embed="rId3">
                                    <a:extLst>
                                      <a:ext uri="{28A0092B-C50C-407E-A947-70E740481C1C}">
                                        <a14:useLocalDpi xmlns:a14="http://schemas.microsoft.com/office/drawing/2010/main" val="0"/>
                                      </a:ext>
                                    </a:extLst>
                                  </a:blip>
                                  <a:stretch>
                                    <a:fillRect/>
                                  </a:stretch>
                                </pic:blipFill>
                                <pic:spPr>
                                  <a:xfrm>
                                    <a:off x="0" y="0"/>
                                    <a:ext cx="7193280" cy="1127760"/>
                                  </a:xfrm>
                                  <a:prstGeom prst="rect">
                                    <a:avLst/>
                                  </a:prstGeom>
                                </pic:spPr>
                              </pic:pic>
                            </a:graphicData>
                          </a:graphic>
                        </wp:inline>
                      </w:drawing>
                    </w: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4CD48" w14:textId="77777777" w:rsidR="004B616D" w:rsidRDefault="004B616D" w:rsidP="00286D45">
      <w:r>
        <w:separator/>
      </w:r>
    </w:p>
  </w:footnote>
  <w:footnote w:type="continuationSeparator" w:id="0">
    <w:p w14:paraId="0D38D2E4" w14:textId="77777777" w:rsidR="004B616D" w:rsidRDefault="004B616D" w:rsidP="00286D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1DF70" w14:textId="77777777" w:rsidR="004A2F33" w:rsidRDefault="004A2F33" w:rsidP="004A2F33">
    <w:pPr>
      <w:pStyle w:val="Kopfzeile"/>
    </w:pPr>
    <w:r>
      <w:rPr>
        <w:noProof/>
      </w:rPr>
      <mc:AlternateContent>
        <mc:Choice Requires="wps">
          <w:drawing>
            <wp:anchor distT="0" distB="0" distL="114300" distR="114300" simplePos="0" relativeHeight="251657216" behindDoc="0" locked="0" layoutInCell="1" allowOverlap="1" wp14:anchorId="6D83E348" wp14:editId="2C8A83E0">
              <wp:simplePos x="0" y="0"/>
              <wp:positionH relativeFrom="column">
                <wp:posOffset>-919480</wp:posOffset>
              </wp:positionH>
              <wp:positionV relativeFrom="margin">
                <wp:align>top</wp:align>
              </wp:positionV>
              <wp:extent cx="7585710" cy="1266939"/>
              <wp:effectExtent l="0" t="0" r="0" b="0"/>
              <wp:wrapNone/>
              <wp:docPr id="12" name="Textfeld 12"/>
              <wp:cNvGraphicFramePr/>
              <a:graphic xmlns:a="http://schemas.openxmlformats.org/drawingml/2006/main">
                <a:graphicData uri="http://schemas.microsoft.com/office/word/2010/wordprocessingShape">
                  <wps:wsp>
                    <wps:cNvSpPr txBox="1"/>
                    <wps:spPr>
                      <a:xfrm>
                        <a:off x="0" y="0"/>
                        <a:ext cx="7585710" cy="12669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1">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83E348" id="_x0000_t202" coordsize="21600,21600" o:spt="202" path="m,l,21600r21600,l21600,xe">
              <v:stroke joinstyle="miter"/>
              <v:path gradientshapeok="t" o:connecttype="rect"/>
            </v:shapetype>
            <v:shape id="Textfeld 12" o:spid="_x0000_s1026" type="#_x0000_t202" style="position:absolute;margin-left:-72.4pt;margin-top:0;width:597.3pt;height:99.75pt;z-index:251657216;visibility:visible;mso-wrap-style:square;mso-height-percent:0;mso-wrap-distance-left:9pt;mso-wrap-distance-top:0;mso-wrap-distance-right:9pt;mso-wrap-distance-bottom:0;mso-position-horizontal:absolute;mso-position-horizontal-relative:text;mso-position-vertical:top;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" filled="f" stroked="f">
              <v:textbox>
                <w:txbxContent>
                  <w:p w14:paraId="6BCB2148" w14:textId="77777777" w:rsidR="004A2F33" w:rsidRDefault="004A2F33" w:rsidP="004C7CB4">
                    <w:pPr>
                      <w:ind w:left="1418"/>
                    </w:pPr>
                    <w:r>
                      <w:rPr>
                        <w:noProof/>
                      </w:rPr>
                      <w:drawing>
                        <wp:inline distT="0" distB="0" distL="0" distR="0" wp14:anchorId="031C8C2F" wp14:editId="3C492379">
                          <wp:extent cx="6279571" cy="747539"/>
                          <wp:effectExtent l="0" t="0" r="0" b="1905"/>
                          <wp:docPr id="878657531"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ereBlock_BHV_0917.jpg"/>
                                  <pic:cNvPicPr/>
                                </pic:nvPicPr>
                                <pic:blipFill rotWithShape="1">
                                  <a:blip r:embed="rId2">
                                    <a:extLst>
                                      <a:ext uri="{28A0092B-C50C-407E-A947-70E740481C1C}">
                                        <a14:useLocalDpi xmlns:a14="http://schemas.microsoft.com/office/drawing/2010/main" val="0"/>
                                      </a:ext>
                                    </a:extLst>
                                  </a:blip>
                                  <a:srcRect b="73562"/>
                                  <a:stretch/>
                                </pic:blipFill>
                                <pic:spPr bwMode="auto">
                                  <a:xfrm>
                                    <a:off x="0" y="0"/>
                                    <a:ext cx="6281928" cy="74782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7"/>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9E7"/>
    <w:rsid w:val="00072FAB"/>
    <w:rsid w:val="001B16E5"/>
    <w:rsid w:val="001D37A9"/>
    <w:rsid w:val="001E4DD9"/>
    <w:rsid w:val="002249AE"/>
    <w:rsid w:val="002758A9"/>
    <w:rsid w:val="00286669"/>
    <w:rsid w:val="00286D45"/>
    <w:rsid w:val="002B5436"/>
    <w:rsid w:val="002B6CC5"/>
    <w:rsid w:val="002E4938"/>
    <w:rsid w:val="003469C2"/>
    <w:rsid w:val="00377BB9"/>
    <w:rsid w:val="00394F99"/>
    <w:rsid w:val="003A22D8"/>
    <w:rsid w:val="003B49E7"/>
    <w:rsid w:val="00431605"/>
    <w:rsid w:val="0043203D"/>
    <w:rsid w:val="004675FB"/>
    <w:rsid w:val="00494941"/>
    <w:rsid w:val="004A2F33"/>
    <w:rsid w:val="004B616D"/>
    <w:rsid w:val="004C7CB4"/>
    <w:rsid w:val="004D2E27"/>
    <w:rsid w:val="004E095C"/>
    <w:rsid w:val="00525F51"/>
    <w:rsid w:val="00527303"/>
    <w:rsid w:val="005346D2"/>
    <w:rsid w:val="00544B28"/>
    <w:rsid w:val="00566BD2"/>
    <w:rsid w:val="005A42B1"/>
    <w:rsid w:val="005C6399"/>
    <w:rsid w:val="005D0F61"/>
    <w:rsid w:val="006446FB"/>
    <w:rsid w:val="006C3AAB"/>
    <w:rsid w:val="006F0639"/>
    <w:rsid w:val="006F4980"/>
    <w:rsid w:val="007253E9"/>
    <w:rsid w:val="007D0E2A"/>
    <w:rsid w:val="00824FEA"/>
    <w:rsid w:val="008257A2"/>
    <w:rsid w:val="00835F07"/>
    <w:rsid w:val="00863B8D"/>
    <w:rsid w:val="00865A6F"/>
    <w:rsid w:val="0088010B"/>
    <w:rsid w:val="0088421C"/>
    <w:rsid w:val="008D3281"/>
    <w:rsid w:val="00906807"/>
    <w:rsid w:val="00910130"/>
    <w:rsid w:val="00956A18"/>
    <w:rsid w:val="009C006E"/>
    <w:rsid w:val="009D0939"/>
    <w:rsid w:val="009D6E24"/>
    <w:rsid w:val="00A21037"/>
    <w:rsid w:val="00A57287"/>
    <w:rsid w:val="00AF76AE"/>
    <w:rsid w:val="00AF7945"/>
    <w:rsid w:val="00B255E8"/>
    <w:rsid w:val="00B51CEC"/>
    <w:rsid w:val="00BA5D68"/>
    <w:rsid w:val="00BD1830"/>
    <w:rsid w:val="00C24DAB"/>
    <w:rsid w:val="00C277EF"/>
    <w:rsid w:val="00C76B4E"/>
    <w:rsid w:val="00CC1BDB"/>
    <w:rsid w:val="00D058AA"/>
    <w:rsid w:val="00D1102C"/>
    <w:rsid w:val="00D44387"/>
    <w:rsid w:val="00D51E6A"/>
    <w:rsid w:val="00DF1ECF"/>
    <w:rsid w:val="00E4387C"/>
    <w:rsid w:val="00E52337"/>
    <w:rsid w:val="00E902B0"/>
    <w:rsid w:val="00EA1A5B"/>
    <w:rsid w:val="00EA46AB"/>
    <w:rsid w:val="00EE6992"/>
    <w:rsid w:val="00EE6A11"/>
    <w:rsid w:val="00EF3176"/>
    <w:rsid w:val="00FD345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133A4"/>
  <w14:defaultImageDpi w14:val="300"/>
  <w15:docId w15:val="{BEFAFC28-CCC4-034F-908A-C52C3AD3F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86D45"/>
    <w:pPr>
      <w:tabs>
        <w:tab w:val="center" w:pos="4536"/>
        <w:tab w:val="right" w:pos="9072"/>
      </w:tabs>
    </w:pPr>
  </w:style>
  <w:style w:type="character" w:customStyle="1" w:styleId="KopfzeileZchn">
    <w:name w:val="Kopfzeile Zchn"/>
    <w:basedOn w:val="Absatz-Standardschriftart"/>
    <w:link w:val="Kopfzeile"/>
    <w:uiPriority w:val="99"/>
    <w:rsid w:val="00286D45"/>
  </w:style>
  <w:style w:type="paragraph" w:styleId="Fuzeile">
    <w:name w:val="footer"/>
    <w:basedOn w:val="Standard"/>
    <w:link w:val="FuzeileZchn"/>
    <w:uiPriority w:val="99"/>
    <w:unhideWhenUsed/>
    <w:rsid w:val="00286D45"/>
    <w:pPr>
      <w:tabs>
        <w:tab w:val="center" w:pos="4536"/>
        <w:tab w:val="right" w:pos="9072"/>
      </w:tabs>
    </w:pPr>
  </w:style>
  <w:style w:type="character" w:customStyle="1" w:styleId="FuzeileZchn">
    <w:name w:val="Fußzeile Zchn"/>
    <w:basedOn w:val="Absatz-Standardschriftart"/>
    <w:link w:val="Fuzeile"/>
    <w:uiPriority w:val="99"/>
    <w:rsid w:val="00286D45"/>
  </w:style>
  <w:style w:type="paragraph" w:styleId="Sprechblasentext">
    <w:name w:val="Balloon Text"/>
    <w:basedOn w:val="Standard"/>
    <w:link w:val="SprechblasentextZchn"/>
    <w:uiPriority w:val="99"/>
    <w:semiHidden/>
    <w:unhideWhenUsed/>
    <w:rsid w:val="00286D4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286D45"/>
    <w:rPr>
      <w:rFonts w:ascii="Lucida Grande" w:hAnsi="Lucida Grande" w:cs="Lucida Grande"/>
      <w:sz w:val="18"/>
      <w:szCs w:val="18"/>
    </w:rPr>
  </w:style>
  <w:style w:type="paragraph" w:customStyle="1" w:styleId="EinfAbs">
    <w:name w:val="[Einf. Abs.]"/>
    <w:basedOn w:val="Standard"/>
    <w:uiPriority w:val="99"/>
    <w:rsid w:val="00286D45"/>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824FEA"/>
    <w:rPr>
      <w:color w:val="0000FF" w:themeColor="hyperlink"/>
      <w:u w:val="single"/>
    </w:rPr>
  </w:style>
  <w:style w:type="character" w:styleId="NichtaufgelsteErwhnung">
    <w:name w:val="Unresolved Mention"/>
    <w:basedOn w:val="Absatz-Standardschriftart"/>
    <w:uiPriority w:val="99"/>
    <w:semiHidden/>
    <w:unhideWhenUsed/>
    <w:rsid w:val="00824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82530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3.jp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2BFAE-C864-4376-8E46-D67FAB38F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378</Words>
  <Characters>2385</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IKL - Idee, Konzept, Layout</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Katharina Poppe</cp:lastModifiedBy>
  <cp:revision>8</cp:revision>
  <cp:lastPrinted>2025-08-27T09:55:00Z</cp:lastPrinted>
  <dcterms:created xsi:type="dcterms:W3CDTF">2025-11-19T11:23:00Z</dcterms:created>
  <dcterms:modified xsi:type="dcterms:W3CDTF">2025-12-08T10:35:00Z</dcterms:modified>
</cp:coreProperties>
</file>