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3C425F" w14:textId="4F568D25" w:rsidR="00EF3176" w:rsidRDefault="00EF3176">
      <w:pPr>
        <w:rPr>
          <w:rFonts w:ascii="Avenir Black" w:hAnsi="Avenir Black"/>
          <w:vertAlign w:val="subscript"/>
        </w:rPr>
      </w:pPr>
    </w:p>
    <w:p w14:paraId="4671A7A5" w14:textId="4773B8D7" w:rsidR="00EF3176" w:rsidRDefault="00EF3176" w:rsidP="00EF3176">
      <w:pPr>
        <w:tabs>
          <w:tab w:val="left" w:pos="8325"/>
        </w:tabs>
        <w:rPr>
          <w:rFonts w:ascii="Avenir Black" w:hAnsi="Avenir Black"/>
        </w:rPr>
      </w:pPr>
      <w:r>
        <w:rPr>
          <w:rFonts w:ascii="Avenir Black" w:hAnsi="Avenir Black"/>
        </w:rPr>
        <w:tab/>
      </w:r>
    </w:p>
    <w:p w14:paraId="0913E83A" w14:textId="77777777" w:rsidR="00EF3176" w:rsidRPr="00EF3176" w:rsidRDefault="00EF3176" w:rsidP="00EF3176">
      <w:pPr>
        <w:rPr>
          <w:rFonts w:ascii="Avenir Black" w:hAnsi="Avenir Black"/>
        </w:rPr>
      </w:pPr>
    </w:p>
    <w:p w14:paraId="0A6BBFBE" w14:textId="77777777" w:rsidR="00EF3176" w:rsidRDefault="00EF3176" w:rsidP="00EF3176">
      <w:pPr>
        <w:rPr>
          <w:rFonts w:ascii="Avenir Black" w:hAnsi="Avenir Black"/>
        </w:rPr>
      </w:pPr>
    </w:p>
    <w:p w14:paraId="5069D141" w14:textId="77777777" w:rsidR="00FA2695" w:rsidRDefault="00FA2695" w:rsidP="00EF3176">
      <w:pPr>
        <w:rPr>
          <w:rFonts w:ascii="Avenir Black" w:hAnsi="Avenir Black"/>
        </w:rPr>
      </w:pPr>
    </w:p>
    <w:p w14:paraId="47408B42" w14:textId="77777777" w:rsidR="00727F7A" w:rsidRDefault="00727F7A" w:rsidP="009D0939">
      <w:pPr>
        <w:tabs>
          <w:tab w:val="left" w:pos="6510"/>
        </w:tabs>
        <w:rPr>
          <w:rFonts w:ascii="Avenir Black" w:hAnsi="Avenir Black"/>
        </w:rPr>
      </w:pPr>
    </w:p>
    <w:p w14:paraId="045BEF89" w14:textId="77777777" w:rsidR="00632D45" w:rsidRDefault="00632D45" w:rsidP="009D0939">
      <w:pPr>
        <w:tabs>
          <w:tab w:val="left" w:pos="6510"/>
        </w:tabs>
        <w:rPr>
          <w:rFonts w:ascii="Avenir Black" w:hAnsi="Avenir Black"/>
        </w:rPr>
      </w:pPr>
    </w:p>
    <w:p w14:paraId="01D43554" w14:textId="77777777" w:rsidR="00632D45" w:rsidRDefault="00632D45" w:rsidP="009D0939">
      <w:pPr>
        <w:tabs>
          <w:tab w:val="left" w:pos="6510"/>
        </w:tabs>
        <w:rPr>
          <w:rFonts w:ascii="Avenir Black" w:hAnsi="Avenir Black"/>
        </w:rPr>
      </w:pPr>
    </w:p>
    <w:p w14:paraId="1F89BDE9" w14:textId="77777777" w:rsidR="00727F7A" w:rsidRDefault="00727F7A" w:rsidP="009D0939">
      <w:pPr>
        <w:tabs>
          <w:tab w:val="left" w:pos="6510"/>
        </w:tabs>
        <w:rPr>
          <w:rFonts w:ascii="Avenir Black" w:hAnsi="Avenir Black"/>
        </w:rPr>
      </w:pPr>
    </w:p>
    <w:p w14:paraId="5F7B5FF4" w14:textId="77777777" w:rsidR="00512015" w:rsidRDefault="00512015" w:rsidP="009D0939">
      <w:pPr>
        <w:tabs>
          <w:tab w:val="left" w:pos="6510"/>
        </w:tabs>
        <w:rPr>
          <w:rFonts w:ascii="Avenir Black" w:hAnsi="Avenir Black"/>
        </w:rPr>
      </w:pPr>
    </w:p>
    <w:p w14:paraId="2452A447" w14:textId="7264934F" w:rsidR="007D0E2A" w:rsidRDefault="00EF3176" w:rsidP="009D0939">
      <w:pPr>
        <w:tabs>
          <w:tab w:val="left" w:pos="6510"/>
        </w:tabs>
        <w:rPr>
          <w:rFonts w:ascii="Calibri" w:hAnsi="Calibri" w:cs="Calibri"/>
          <w:sz w:val="22"/>
          <w:szCs w:val="22"/>
        </w:rPr>
      </w:pPr>
      <w:r>
        <w:rPr>
          <w:rFonts w:ascii="Avenir Black" w:hAnsi="Avenir Black"/>
        </w:rPr>
        <w:tab/>
      </w:r>
    </w:p>
    <w:p w14:paraId="4AEAB9DC" w14:textId="1174EBDF" w:rsidR="007D0E2A" w:rsidRPr="007D0E2A" w:rsidRDefault="007D0E2A" w:rsidP="007D0E2A">
      <w:pPr>
        <w:rPr>
          <w:rFonts w:ascii="Calibri" w:hAnsi="Calibri" w:cs="Calibri"/>
          <w:b/>
          <w:bCs/>
          <w:sz w:val="22"/>
          <w:szCs w:val="22"/>
        </w:rPr>
      </w:pPr>
      <w:r w:rsidRPr="007D0E2A">
        <w:rPr>
          <w:rFonts w:ascii="Calibri" w:hAnsi="Calibri" w:cs="Calibri"/>
          <w:b/>
          <w:bCs/>
          <w:sz w:val="22"/>
          <w:szCs w:val="22"/>
        </w:rPr>
        <w:t>PRESSEMITTEILUNG</w:t>
      </w:r>
    </w:p>
    <w:p w14:paraId="44F5A123" w14:textId="3AD67389" w:rsidR="00C76B4E" w:rsidRDefault="007D0E2A" w:rsidP="00EF3176">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5C82793C" w14:textId="77777777" w:rsidR="00727F7A" w:rsidRDefault="00727F7A" w:rsidP="00EF3176">
      <w:pPr>
        <w:rPr>
          <w:rFonts w:ascii="Calibri" w:hAnsi="Calibri" w:cs="Calibri"/>
          <w:sz w:val="22"/>
          <w:szCs w:val="22"/>
        </w:rPr>
      </w:pPr>
    </w:p>
    <w:p w14:paraId="7CF52587" w14:textId="45DDD2FF" w:rsidR="007D0E2A" w:rsidRPr="007D0E2A" w:rsidRDefault="00B642F3" w:rsidP="007D0E2A">
      <w:pPr>
        <w:jc w:val="right"/>
        <w:rPr>
          <w:rFonts w:ascii="Calibri" w:hAnsi="Calibri" w:cs="Calibri"/>
          <w:sz w:val="22"/>
          <w:szCs w:val="22"/>
        </w:rPr>
      </w:pPr>
      <w:r>
        <w:rPr>
          <w:rFonts w:ascii="Calibri" w:hAnsi="Calibri" w:cs="Calibri"/>
          <w:sz w:val="22"/>
          <w:szCs w:val="22"/>
        </w:rPr>
        <w:t>Ju</w:t>
      </w:r>
      <w:r w:rsidR="0048011E">
        <w:rPr>
          <w:rFonts w:ascii="Calibri" w:hAnsi="Calibri" w:cs="Calibri"/>
          <w:sz w:val="22"/>
          <w:szCs w:val="22"/>
        </w:rPr>
        <w:t>l</w:t>
      </w:r>
      <w:r w:rsidR="009A3A4B">
        <w:rPr>
          <w:rFonts w:ascii="Calibri" w:hAnsi="Calibri" w:cs="Calibri"/>
          <w:sz w:val="22"/>
          <w:szCs w:val="22"/>
        </w:rPr>
        <w:t xml:space="preserve">i </w:t>
      </w:r>
      <w:r w:rsidR="007D0E2A">
        <w:rPr>
          <w:rFonts w:ascii="Calibri" w:hAnsi="Calibri" w:cs="Calibri"/>
          <w:sz w:val="22"/>
          <w:szCs w:val="22"/>
        </w:rPr>
        <w:t>202</w:t>
      </w:r>
      <w:r w:rsidR="00AE43AC">
        <w:rPr>
          <w:rFonts w:ascii="Calibri" w:hAnsi="Calibri" w:cs="Calibri"/>
          <w:sz w:val="22"/>
          <w:szCs w:val="22"/>
        </w:rPr>
        <w:t>6</w:t>
      </w:r>
    </w:p>
    <w:p w14:paraId="6AB99485" w14:textId="77777777" w:rsidR="007D0E2A" w:rsidRDefault="007D0E2A" w:rsidP="00EF3176">
      <w:pPr>
        <w:rPr>
          <w:rFonts w:ascii="Calibri" w:hAnsi="Calibri" w:cs="Calibri"/>
          <w:sz w:val="22"/>
          <w:szCs w:val="22"/>
        </w:rPr>
      </w:pPr>
    </w:p>
    <w:p w14:paraId="59C11838" w14:textId="77777777" w:rsidR="001B16E5" w:rsidRDefault="001B16E5" w:rsidP="00EF3176">
      <w:pPr>
        <w:rPr>
          <w:rFonts w:ascii="Calibri" w:hAnsi="Calibri" w:cs="Calibri"/>
          <w:sz w:val="22"/>
          <w:szCs w:val="22"/>
        </w:rPr>
      </w:pPr>
    </w:p>
    <w:p w14:paraId="75801629" w14:textId="77777777" w:rsidR="00910130" w:rsidRDefault="00910130" w:rsidP="00EF3176">
      <w:pPr>
        <w:rPr>
          <w:rFonts w:ascii="Calibri" w:hAnsi="Calibri" w:cs="Calibri"/>
          <w:sz w:val="22"/>
          <w:szCs w:val="22"/>
        </w:rPr>
      </w:pPr>
    </w:p>
    <w:p w14:paraId="40CF2DD9" w14:textId="77777777" w:rsidR="00512015" w:rsidRDefault="00512015" w:rsidP="00EF3176">
      <w:pPr>
        <w:rPr>
          <w:rFonts w:ascii="Calibri" w:hAnsi="Calibri" w:cs="Calibri"/>
          <w:sz w:val="22"/>
          <w:szCs w:val="22"/>
        </w:rPr>
      </w:pPr>
    </w:p>
    <w:p w14:paraId="439D910E" w14:textId="77777777" w:rsidR="00632D45" w:rsidRPr="00632D45" w:rsidRDefault="00632D45" w:rsidP="00632D45">
      <w:pPr>
        <w:tabs>
          <w:tab w:val="left" w:pos="2625"/>
        </w:tabs>
        <w:rPr>
          <w:rFonts w:ascii="Calibri" w:hAnsi="Calibri" w:cs="Calibri"/>
          <w:b/>
          <w:bCs/>
          <w:sz w:val="36"/>
          <w:szCs w:val="36"/>
        </w:rPr>
      </w:pPr>
      <w:r w:rsidRPr="00632D45">
        <w:rPr>
          <w:rFonts w:ascii="Calibri" w:hAnsi="Calibri" w:cs="Calibri"/>
          <w:b/>
          <w:bCs/>
          <w:sz w:val="36"/>
          <w:szCs w:val="36"/>
        </w:rPr>
        <w:t>Bayerns Heilbäder werben im Bundesgesundheitsministerium für Kurorte als Präventionszentren der Zukunft</w:t>
      </w:r>
    </w:p>
    <w:p w14:paraId="4B215805" w14:textId="77777777" w:rsidR="000D7EF1" w:rsidRDefault="000D7EF1" w:rsidP="00576EE3">
      <w:pPr>
        <w:tabs>
          <w:tab w:val="left" w:pos="2625"/>
        </w:tabs>
        <w:jc w:val="both"/>
        <w:rPr>
          <w:rFonts w:ascii="Calibri" w:hAnsi="Calibri" w:cs="Calibri"/>
          <w:i/>
          <w:iCs/>
          <w:sz w:val="22"/>
          <w:szCs w:val="22"/>
        </w:rPr>
      </w:pPr>
    </w:p>
    <w:p w14:paraId="262299DB" w14:textId="2C4C59C0" w:rsidR="00727F7A" w:rsidRPr="00727F7A" w:rsidRDefault="00632D45" w:rsidP="00727F7A">
      <w:pPr>
        <w:tabs>
          <w:tab w:val="left" w:pos="2625"/>
        </w:tabs>
        <w:jc w:val="both"/>
        <w:rPr>
          <w:rFonts w:ascii="Calibri" w:hAnsi="Calibri" w:cs="Calibri"/>
          <w:b/>
          <w:bCs/>
          <w:sz w:val="22"/>
          <w:szCs w:val="22"/>
        </w:rPr>
      </w:pPr>
      <w:r>
        <w:rPr>
          <w:rFonts w:ascii="Calibri" w:hAnsi="Calibri" w:cs="Calibri"/>
          <w:sz w:val="22"/>
          <w:szCs w:val="22"/>
        </w:rPr>
        <w:t>Berlin/</w:t>
      </w:r>
      <w:r w:rsidR="00727F7A">
        <w:rPr>
          <w:rFonts w:ascii="Calibri" w:hAnsi="Calibri" w:cs="Calibri"/>
          <w:sz w:val="22"/>
          <w:szCs w:val="22"/>
        </w:rPr>
        <w:t>München</w:t>
      </w:r>
      <w:r w:rsidR="006446FB" w:rsidRPr="006446FB">
        <w:rPr>
          <w:rFonts w:ascii="Calibri" w:hAnsi="Calibri" w:cs="Calibri"/>
          <w:sz w:val="22"/>
          <w:szCs w:val="22"/>
        </w:rPr>
        <w:t xml:space="preserve"> </w:t>
      </w:r>
      <w:r w:rsidR="007D0E2A" w:rsidRPr="007D0E2A">
        <w:rPr>
          <w:rFonts w:ascii="Calibri" w:hAnsi="Calibri" w:cs="Calibri"/>
          <w:sz w:val="22"/>
          <w:szCs w:val="22"/>
        </w:rPr>
        <w:t xml:space="preserve">– </w:t>
      </w:r>
      <w:r w:rsidR="00512015" w:rsidRPr="00512015">
        <w:rPr>
          <w:rFonts w:ascii="Calibri" w:hAnsi="Calibri" w:cs="Calibri"/>
          <w:b/>
          <w:bCs/>
          <w:sz w:val="22"/>
          <w:szCs w:val="22"/>
        </w:rPr>
        <w:t>Der Bayerische Heilbäder-Verband (BHV) hat im Bundesministerium für Gesundheit in Berlin in dieser Woche für eine stärkere Rolle der staatlich anerkannten Heilbäder und Kurorte in der Präventionsoffensive des Bundes geworben. Bei einem Gespräch mit Dr. Silke Heinemann, Leiterin der Abteilung für Prävention, Krankheitsbekämpfung und Öffentliche Gesundheit, präsentierten der BHV-Vorsitzende Landrat Peter Berek, Geschäftsführer Frank Oette und der ärztliche Berater des Verbands, Dr. Christian Alex, Impulse, wie Heilbäder und Kurorte ihre Stärken künftig noch stärker in die Gesundheitsvorsorge einbringen können.</w:t>
      </w:r>
    </w:p>
    <w:p w14:paraId="6750EFBD" w14:textId="77777777" w:rsidR="00727F7A" w:rsidRPr="00727F7A" w:rsidRDefault="00727F7A" w:rsidP="00727F7A">
      <w:pPr>
        <w:tabs>
          <w:tab w:val="left" w:pos="2625"/>
        </w:tabs>
        <w:spacing w:line="276" w:lineRule="auto"/>
        <w:jc w:val="both"/>
        <w:rPr>
          <w:rFonts w:ascii="Calibri" w:hAnsi="Calibri" w:cs="Calibri"/>
          <w:sz w:val="22"/>
          <w:szCs w:val="22"/>
        </w:rPr>
      </w:pPr>
    </w:p>
    <w:p w14:paraId="7E0D5A5A" w14:textId="77777777" w:rsidR="00512015" w:rsidRDefault="00512015" w:rsidP="00512015">
      <w:pPr>
        <w:tabs>
          <w:tab w:val="left" w:pos="2625"/>
        </w:tabs>
        <w:spacing w:line="276" w:lineRule="auto"/>
        <w:jc w:val="both"/>
        <w:rPr>
          <w:rFonts w:ascii="Calibri" w:hAnsi="Calibri" w:cs="Calibri"/>
          <w:sz w:val="22"/>
          <w:szCs w:val="22"/>
        </w:rPr>
      </w:pPr>
      <w:r w:rsidRPr="00512015">
        <w:rPr>
          <w:rFonts w:ascii="Calibri" w:hAnsi="Calibri" w:cs="Calibri"/>
          <w:sz w:val="22"/>
          <w:szCs w:val="22"/>
        </w:rPr>
        <w:t xml:space="preserve">Im Mittelpunkt standen Ideen und konkrete Vorschläge, wie vorhandene Gesundheitsstrukturen besser genutzt und Prävention künftig enger mit Vorsorge, Rehabilitation und Pflegeprävention verknüpft werden können. Der Verband, Dachorganisation von mehr als 70 Heilbädern, Kurorten und Kurbetrieben in Bayern mit jährlich über 23 Millionen Übernachtungen und fünf Millionen Gästen, schlägt unter anderem vor, Heilbäder und Kurorte als regionale Modellstandorte für vernetzte Prävention einzubinden. </w:t>
      </w:r>
    </w:p>
    <w:p w14:paraId="04880B95" w14:textId="77777777" w:rsidR="00512015" w:rsidRPr="00512015" w:rsidRDefault="00512015" w:rsidP="00512015">
      <w:pPr>
        <w:tabs>
          <w:tab w:val="left" w:pos="2625"/>
        </w:tabs>
        <w:spacing w:line="276" w:lineRule="auto"/>
        <w:jc w:val="both"/>
        <w:rPr>
          <w:rFonts w:ascii="Calibri" w:hAnsi="Calibri" w:cs="Calibri"/>
          <w:sz w:val="22"/>
          <w:szCs w:val="22"/>
        </w:rPr>
      </w:pPr>
    </w:p>
    <w:p w14:paraId="1027DAE2" w14:textId="77777777" w:rsidR="00BC6BBD" w:rsidRDefault="00512015" w:rsidP="00512015">
      <w:pPr>
        <w:tabs>
          <w:tab w:val="left" w:pos="2625"/>
        </w:tabs>
        <w:spacing w:line="276" w:lineRule="auto"/>
        <w:jc w:val="both"/>
        <w:rPr>
          <w:rFonts w:ascii="Calibri" w:hAnsi="Calibri" w:cs="Calibri"/>
          <w:sz w:val="22"/>
          <w:szCs w:val="22"/>
        </w:rPr>
      </w:pPr>
      <w:r w:rsidRPr="00512015">
        <w:rPr>
          <w:rFonts w:ascii="Calibri" w:hAnsi="Calibri" w:cs="Calibri"/>
          <w:sz w:val="22"/>
          <w:szCs w:val="22"/>
        </w:rPr>
        <w:t xml:space="preserve">„Die Heilbäder und Kurorte müssen bei den weiteren Dialogformaten wie dem geplanten Präventionsgipfel des Bundes mit am Tisch sitzen“, sagte BHV-Vorsitzender Peter Berek. Grundlage des Gesprächs war ein vom Verband erarbeitetes Impulspapier mit konkreten Vorschlägen zur Umsetzung der Präventionsoffensive.  </w:t>
      </w:r>
    </w:p>
    <w:p w14:paraId="297EAC05" w14:textId="77777777" w:rsidR="00BC6BBD" w:rsidRDefault="00BC6BBD" w:rsidP="00512015">
      <w:pPr>
        <w:tabs>
          <w:tab w:val="left" w:pos="2625"/>
        </w:tabs>
        <w:spacing w:line="276" w:lineRule="auto"/>
        <w:jc w:val="both"/>
        <w:rPr>
          <w:rFonts w:ascii="Calibri" w:hAnsi="Calibri" w:cs="Calibri"/>
          <w:sz w:val="22"/>
          <w:szCs w:val="22"/>
        </w:rPr>
      </w:pPr>
    </w:p>
    <w:p w14:paraId="5FD36FFF" w14:textId="77777777" w:rsidR="00BC6BBD" w:rsidRDefault="00BC6BBD" w:rsidP="00512015">
      <w:pPr>
        <w:tabs>
          <w:tab w:val="left" w:pos="2625"/>
        </w:tabs>
        <w:spacing w:line="276" w:lineRule="auto"/>
        <w:jc w:val="both"/>
        <w:rPr>
          <w:rFonts w:ascii="Calibri" w:hAnsi="Calibri" w:cs="Calibri"/>
          <w:sz w:val="22"/>
          <w:szCs w:val="22"/>
        </w:rPr>
      </w:pPr>
    </w:p>
    <w:p w14:paraId="3B036E55" w14:textId="77777777" w:rsidR="00BC6BBD" w:rsidRDefault="00BC6BBD" w:rsidP="00512015">
      <w:pPr>
        <w:tabs>
          <w:tab w:val="left" w:pos="2625"/>
        </w:tabs>
        <w:spacing w:line="276" w:lineRule="auto"/>
        <w:jc w:val="both"/>
        <w:rPr>
          <w:rFonts w:ascii="Calibri" w:hAnsi="Calibri" w:cs="Calibri"/>
          <w:sz w:val="22"/>
          <w:szCs w:val="22"/>
        </w:rPr>
      </w:pPr>
    </w:p>
    <w:p w14:paraId="7B891230" w14:textId="77777777" w:rsidR="00BC6BBD" w:rsidRDefault="00BC6BBD" w:rsidP="00512015">
      <w:pPr>
        <w:tabs>
          <w:tab w:val="left" w:pos="2625"/>
        </w:tabs>
        <w:spacing w:line="276" w:lineRule="auto"/>
        <w:jc w:val="both"/>
        <w:rPr>
          <w:rFonts w:ascii="Calibri" w:hAnsi="Calibri" w:cs="Calibri"/>
          <w:sz w:val="22"/>
          <w:szCs w:val="22"/>
        </w:rPr>
      </w:pPr>
    </w:p>
    <w:p w14:paraId="0DE7088F" w14:textId="77777777" w:rsidR="00BC6BBD" w:rsidRDefault="00BC6BBD" w:rsidP="00512015">
      <w:pPr>
        <w:tabs>
          <w:tab w:val="left" w:pos="2625"/>
        </w:tabs>
        <w:spacing w:line="276" w:lineRule="auto"/>
        <w:jc w:val="both"/>
        <w:rPr>
          <w:rFonts w:ascii="Calibri" w:hAnsi="Calibri" w:cs="Calibri"/>
          <w:sz w:val="22"/>
          <w:szCs w:val="22"/>
        </w:rPr>
      </w:pPr>
    </w:p>
    <w:p w14:paraId="79DED5F7" w14:textId="77777777" w:rsidR="00BC6BBD" w:rsidRDefault="00BC6BBD" w:rsidP="00512015">
      <w:pPr>
        <w:tabs>
          <w:tab w:val="left" w:pos="2625"/>
        </w:tabs>
        <w:spacing w:line="276" w:lineRule="auto"/>
        <w:jc w:val="both"/>
        <w:rPr>
          <w:rFonts w:ascii="Calibri" w:hAnsi="Calibri" w:cs="Calibri"/>
          <w:sz w:val="22"/>
          <w:szCs w:val="22"/>
        </w:rPr>
      </w:pPr>
    </w:p>
    <w:p w14:paraId="61501D83" w14:textId="14B10CDA" w:rsidR="00512015" w:rsidRPr="00512015" w:rsidRDefault="00512015" w:rsidP="00512015">
      <w:pPr>
        <w:tabs>
          <w:tab w:val="left" w:pos="2625"/>
        </w:tabs>
        <w:spacing w:line="276" w:lineRule="auto"/>
        <w:jc w:val="both"/>
        <w:rPr>
          <w:rFonts w:ascii="Calibri" w:hAnsi="Calibri" w:cs="Calibri"/>
          <w:sz w:val="22"/>
          <w:szCs w:val="22"/>
        </w:rPr>
      </w:pPr>
      <w:r w:rsidRPr="00512015">
        <w:rPr>
          <w:rFonts w:ascii="Calibri" w:hAnsi="Calibri" w:cs="Calibri"/>
          <w:sz w:val="22"/>
          <w:szCs w:val="22"/>
        </w:rPr>
        <w:t xml:space="preserve">„Heilbäder und Kurorte bringen alles mit, was erfolgreiche Prävention braucht: medizinische Kompetenz, qualitätsgesicherte Angebote und funktionierende Gesundheitsnetzwerke. Dieses Potenzial sollten wir konsequent nutzen“, betonte auch BHV-Geschäftsführer Frank Oette in dem Gespräch. Der Bayerische Heilbäder-Verband werde den Dialog mit der Bundespolitik weiter intensivieren. „Wir wollen Heilbäder und Kurorte als tragende Säule einer modernen und wirksamen Präventionspolitik etablieren“, betonte er. </w:t>
      </w:r>
    </w:p>
    <w:p w14:paraId="59891D4E" w14:textId="77777777" w:rsidR="00512015" w:rsidRPr="00512015" w:rsidRDefault="00512015" w:rsidP="00512015">
      <w:pPr>
        <w:tabs>
          <w:tab w:val="left" w:pos="2625"/>
        </w:tabs>
        <w:spacing w:line="276" w:lineRule="auto"/>
        <w:jc w:val="both"/>
        <w:rPr>
          <w:rFonts w:ascii="Calibri" w:hAnsi="Calibri" w:cs="Calibri"/>
          <w:sz w:val="22"/>
          <w:szCs w:val="22"/>
        </w:rPr>
      </w:pPr>
      <w:r w:rsidRPr="00512015">
        <w:rPr>
          <w:rFonts w:ascii="Calibri" w:hAnsi="Calibri" w:cs="Calibri"/>
          <w:sz w:val="22"/>
          <w:szCs w:val="22"/>
        </w:rPr>
        <w:t xml:space="preserve"> </w:t>
      </w:r>
    </w:p>
    <w:p w14:paraId="1AAD7CAD" w14:textId="77777777" w:rsidR="00727F7A" w:rsidRDefault="00727F7A" w:rsidP="00727F7A">
      <w:pPr>
        <w:tabs>
          <w:tab w:val="left" w:pos="2625"/>
        </w:tabs>
        <w:spacing w:line="276" w:lineRule="auto"/>
        <w:jc w:val="both"/>
        <w:rPr>
          <w:rFonts w:ascii="Calibri" w:hAnsi="Calibri" w:cs="Calibri"/>
          <w:sz w:val="22"/>
          <w:szCs w:val="22"/>
        </w:rPr>
      </w:pPr>
    </w:p>
    <w:p w14:paraId="5E3EE56A" w14:textId="3ED97A23" w:rsidR="005D1334" w:rsidRDefault="005D1334" w:rsidP="005D1334">
      <w:pPr>
        <w:tabs>
          <w:tab w:val="left" w:pos="2625"/>
        </w:tabs>
        <w:spacing w:line="276" w:lineRule="auto"/>
        <w:jc w:val="both"/>
        <w:rPr>
          <w:rFonts w:ascii="Calibri" w:hAnsi="Calibri" w:cs="Calibri"/>
          <w:i/>
          <w:iCs/>
          <w:sz w:val="22"/>
          <w:szCs w:val="22"/>
        </w:rPr>
      </w:pPr>
      <w:r w:rsidRPr="00EA3192">
        <w:rPr>
          <w:rFonts w:ascii="Calibri" w:hAnsi="Calibri" w:cs="Calibri"/>
          <w:i/>
          <w:iCs/>
          <w:sz w:val="22"/>
          <w:szCs w:val="22"/>
        </w:rPr>
        <w:t>Bildunterschrift:</w:t>
      </w:r>
    </w:p>
    <w:p w14:paraId="318DA380" w14:textId="77777777" w:rsidR="0000674E" w:rsidRDefault="0000674E" w:rsidP="005D1334">
      <w:pPr>
        <w:tabs>
          <w:tab w:val="left" w:pos="2625"/>
        </w:tabs>
        <w:spacing w:line="276" w:lineRule="auto"/>
        <w:jc w:val="both"/>
        <w:rPr>
          <w:rFonts w:ascii="Calibri" w:hAnsi="Calibri" w:cs="Calibri"/>
          <w:i/>
          <w:iCs/>
          <w:sz w:val="22"/>
          <w:szCs w:val="22"/>
        </w:rPr>
      </w:pPr>
    </w:p>
    <w:p w14:paraId="27DFD709" w14:textId="6094173D" w:rsidR="005A044A" w:rsidRPr="00A257EA" w:rsidRDefault="00C97BCE" w:rsidP="001F4BD3">
      <w:pPr>
        <w:tabs>
          <w:tab w:val="left" w:pos="2625"/>
        </w:tabs>
        <w:spacing w:line="276" w:lineRule="auto"/>
        <w:jc w:val="both"/>
        <w:rPr>
          <w:rFonts w:ascii="Calibri" w:hAnsi="Calibri" w:cs="Calibri"/>
          <w:i/>
          <w:iCs/>
          <w:sz w:val="22"/>
          <w:szCs w:val="22"/>
        </w:rPr>
      </w:pPr>
      <w:r w:rsidRPr="00C97BCE">
        <w:rPr>
          <w:rFonts w:ascii="Calibri" w:hAnsi="Calibri" w:cs="Calibri"/>
          <w:i/>
          <w:iCs/>
          <w:sz w:val="22"/>
          <w:szCs w:val="22"/>
        </w:rPr>
        <w:t>Landrat Peter Berek (BHV-Vorsitzender</w:t>
      </w:r>
      <w:r>
        <w:rPr>
          <w:rFonts w:ascii="Calibri" w:hAnsi="Calibri" w:cs="Calibri"/>
          <w:i/>
          <w:iCs/>
          <w:sz w:val="22"/>
          <w:szCs w:val="22"/>
        </w:rPr>
        <w:t>, hinten links</w:t>
      </w:r>
      <w:r w:rsidRPr="00C97BCE">
        <w:rPr>
          <w:rFonts w:ascii="Calibri" w:hAnsi="Calibri" w:cs="Calibri"/>
          <w:i/>
          <w:iCs/>
          <w:sz w:val="22"/>
          <w:szCs w:val="22"/>
        </w:rPr>
        <w:t>), BHV-Geschäftsführer Frank Oette</w:t>
      </w:r>
      <w:r>
        <w:rPr>
          <w:rFonts w:ascii="Calibri" w:hAnsi="Calibri" w:cs="Calibri"/>
          <w:i/>
          <w:iCs/>
          <w:sz w:val="22"/>
          <w:szCs w:val="22"/>
        </w:rPr>
        <w:t xml:space="preserve"> (vorne links) </w:t>
      </w:r>
      <w:r w:rsidRPr="00C97BCE">
        <w:rPr>
          <w:rFonts w:ascii="Calibri" w:hAnsi="Calibri" w:cs="Calibri"/>
          <w:i/>
          <w:iCs/>
          <w:sz w:val="22"/>
          <w:szCs w:val="22"/>
        </w:rPr>
        <w:t>und der ärztliche Berater des Verbands, Dr. Christian Alex (</w:t>
      </w:r>
      <w:r>
        <w:rPr>
          <w:rFonts w:ascii="Calibri" w:hAnsi="Calibri" w:cs="Calibri"/>
          <w:i/>
          <w:iCs/>
          <w:sz w:val="22"/>
          <w:szCs w:val="22"/>
        </w:rPr>
        <w:t>rechts</w:t>
      </w:r>
      <w:r w:rsidRPr="00C97BCE">
        <w:rPr>
          <w:rFonts w:ascii="Calibri" w:hAnsi="Calibri" w:cs="Calibri"/>
          <w:i/>
          <w:iCs/>
          <w:sz w:val="22"/>
          <w:szCs w:val="22"/>
        </w:rPr>
        <w:t>), warben im Bundesministerium für Gesundheit in Berlin für eine stärkere Einbindung der Heilbäder und Kurorte in die Präventionsoffensive des Bundes.</w:t>
      </w:r>
      <w:r>
        <w:rPr>
          <w:rFonts w:ascii="Calibri" w:hAnsi="Calibri" w:cs="Calibri"/>
          <w:i/>
          <w:iCs/>
          <w:sz w:val="22"/>
          <w:szCs w:val="22"/>
        </w:rPr>
        <w:t xml:space="preserve"> </w:t>
      </w:r>
      <w:r w:rsidR="009807CB" w:rsidRPr="00A257EA">
        <w:rPr>
          <w:rFonts w:ascii="Calibri" w:hAnsi="Calibri" w:cs="Calibri"/>
          <w:i/>
          <w:iCs/>
          <w:sz w:val="22"/>
          <w:szCs w:val="22"/>
        </w:rPr>
        <w:t xml:space="preserve">Foto: </w:t>
      </w:r>
      <w:r>
        <w:rPr>
          <w:rFonts w:ascii="Calibri" w:hAnsi="Calibri" w:cs="Calibri"/>
          <w:i/>
          <w:iCs/>
          <w:sz w:val="22"/>
          <w:szCs w:val="22"/>
        </w:rPr>
        <w:t>BHV</w:t>
      </w:r>
    </w:p>
    <w:sectPr w:rsidR="005A044A" w:rsidRPr="00A257EA" w:rsidSect="003B49E7">
      <w:headerReference w:type="default" r:id="rId7"/>
      <w:footerReference w:type="default" r:id="rId8"/>
      <w:pgSz w:w="11900" w:h="16840"/>
      <w:pgMar w:top="1418" w:right="1418" w:bottom="1985" w:left="1418" w:header="0" w:footer="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AF5754" w14:textId="77777777" w:rsidR="00D36072" w:rsidRDefault="00D36072" w:rsidP="00286D45">
      <w:r>
        <w:separator/>
      </w:r>
    </w:p>
  </w:endnote>
  <w:endnote w:type="continuationSeparator" w:id="0">
    <w:p w14:paraId="71A5CFDD" w14:textId="77777777" w:rsidR="00D36072" w:rsidRDefault="00D36072" w:rsidP="00286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Avenir Black">
    <w:panose1 w:val="020B0803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0B426" w14:textId="77777777" w:rsidR="00394F99" w:rsidRDefault="003B49E7" w:rsidP="003B49E7">
    <w:pPr>
      <w:pStyle w:val="Fuzeile"/>
      <w:ind w:left="-1418"/>
    </w:pPr>
    <w:r>
      <w:rPr>
        <w:noProof/>
      </w:rPr>
      <w:drawing>
        <wp:inline distT="0" distB="0" distL="0" distR="0" wp14:anchorId="4FCD3F7A" wp14:editId="100903AA">
          <wp:extent cx="7933527" cy="1536700"/>
          <wp:effectExtent l="0" t="0" r="4445" b="0"/>
          <wp:docPr id="1722972108"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85879" name="Grafik 1" descr="Ein Bild, das Text, Screenshot, Schrift, Design enthält.&#10;&#10;Automatisch generierte Beschreibung"/>
                  <pic:cNvPicPr/>
                </pic:nvPicPr>
                <pic:blipFill>
                  <a:blip r:embed="rId1"/>
                  <a:stretch>
                    <a:fillRect/>
                  </a:stretch>
                </pic:blipFill>
                <pic:spPr>
                  <a:xfrm>
                    <a:off x="0" y="0"/>
                    <a:ext cx="7955874" cy="1541029"/>
                  </a:xfrm>
                  <a:prstGeom prst="rect">
                    <a:avLst/>
                  </a:prstGeom>
                </pic:spPr>
              </pic:pic>
            </a:graphicData>
          </a:graphic>
        </wp:inline>
      </w:drawing>
    </w:r>
    <w:r w:rsidR="00394F99">
      <w:rPr>
        <w:noProof/>
      </w:rPr>
      <mc:AlternateContent>
        <mc:Choice Requires="wps">
          <w:drawing>
            <wp:anchor distT="0" distB="0" distL="114300" distR="114300" simplePos="0" relativeHeight="251659264" behindDoc="0" locked="0" layoutInCell="1" allowOverlap="1" wp14:anchorId="2E672BA4" wp14:editId="47020992">
              <wp:simplePos x="0" y="0"/>
              <wp:positionH relativeFrom="column">
                <wp:posOffset>-919480</wp:posOffset>
              </wp:positionH>
              <wp:positionV relativeFrom="margin">
                <wp:align>bottom</wp:align>
              </wp:positionV>
              <wp:extent cx="7585710" cy="0"/>
              <wp:effectExtent l="0" t="50800" r="0" b="50800"/>
              <wp:wrapNone/>
              <wp:docPr id="15" name="Textfeld 15"/>
              <wp:cNvGraphicFramePr/>
              <a:graphic xmlns:a="http://schemas.openxmlformats.org/drawingml/2006/main">
                <a:graphicData uri="http://schemas.microsoft.com/office/word/2010/wordprocessingShape">
                  <wps:wsp>
                    <wps:cNvSpPr txBox="1"/>
                    <wps:spPr>
                      <a:xfrm>
                        <a:off x="0" y="0"/>
                        <a:ext cx="7585710" cy="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A650D4" w14:textId="77777777" w:rsidR="00394F99" w:rsidRDefault="00394F99">
                          <w:r>
                            <w:rPr>
                              <w:noProof/>
                            </w:rPr>
                            <w:drawing>
                              <wp:inline distT="0" distB="0" distL="0" distR="0" wp14:anchorId="58FCFCC0" wp14:editId="7C7924B1">
                                <wp:extent cx="7193280" cy="1127760"/>
                                <wp:effectExtent l="0" t="0" r="0" b="0"/>
                                <wp:docPr id="38302794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erBlock_BHV_0917.jpg"/>
                                        <pic:cNvPicPr/>
                                      </pic:nvPicPr>
                                      <pic:blipFill>
                                        <a:blip r:embed="rId2">
                                          <a:extLst>
                                            <a:ext uri="{28A0092B-C50C-407E-A947-70E740481C1C}">
                                              <a14:useLocalDpi xmlns:a14="http://schemas.microsoft.com/office/drawing/2010/main" val="0"/>
                                            </a:ext>
                                          </a:extLst>
                                        </a:blip>
                                        <a:stretch>
                                          <a:fillRect/>
                                        </a:stretch>
                                      </pic:blipFill>
                                      <pic:spPr>
                                        <a:xfrm>
                                          <a:off x="0" y="0"/>
                                          <a:ext cx="7193280" cy="1127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672BA4" id="_x0000_t202" coordsize="21600,21600" o:spt="202" path="m,l,21600r21600,l21600,xe">
              <v:stroke joinstyle="miter"/>
              <v:path gradientshapeok="t" o:connecttype="rect"/>
            </v:shapetype>
            <v:shape id="Textfeld 15" o:spid="_x0000_s1027" type="#_x0000_t202" style="position:absolute;left:0;text-align:left;margin-left:-72.4pt;margin-top:0;width:597.3pt;height:0;z-index:251659264;visibility:visible;mso-wrap-style:square;mso-wrap-distance-left:9pt;mso-wrap-distance-top:0;mso-wrap-distance-right:9pt;mso-wrap-distance-bottom:0;mso-position-horizontal:absolute;mso-position-horizontal-relative:text;mso-position-vertical:bottom;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" filled="f" stroked="f">
              <v:textbox>
                <w:txbxContent>
                  <w:p w14:paraId="32A650D4" w14:textId="77777777" w:rsidR="00394F99" w:rsidRDefault="00394F99">
                    <w:r>
                      <w:rPr>
                        <w:noProof/>
                      </w:rPr>
                      <w:drawing>
                        <wp:inline distT="0" distB="0" distL="0" distR="0" wp14:anchorId="58FCFCC0" wp14:editId="7C7924B1">
                          <wp:extent cx="7193280" cy="1127760"/>
                          <wp:effectExtent l="0" t="0" r="0" b="0"/>
                          <wp:docPr id="38302794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erBlock_BHV_0917.jpg"/>
                                  <pic:cNvPicPr/>
                                </pic:nvPicPr>
                                <pic:blipFill>
                                  <a:blip r:embed="rId3">
                                    <a:extLst>
                                      <a:ext uri="{28A0092B-C50C-407E-A947-70E740481C1C}">
                                        <a14:useLocalDpi xmlns:a14="http://schemas.microsoft.com/office/drawing/2010/main" val="0"/>
                                      </a:ext>
                                    </a:extLst>
                                  </a:blip>
                                  <a:stretch>
                                    <a:fillRect/>
                                  </a:stretch>
                                </pic:blipFill>
                                <pic:spPr>
                                  <a:xfrm>
                                    <a:off x="0" y="0"/>
                                    <a:ext cx="7193280" cy="1127760"/>
                                  </a:xfrm>
                                  <a:prstGeom prst="rect">
                                    <a:avLst/>
                                  </a:prstGeom>
                                </pic:spPr>
                              </pic:pic>
                            </a:graphicData>
                          </a:graphic>
                        </wp:inline>
                      </w:drawing>
                    </w: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7CC76A" w14:textId="77777777" w:rsidR="00D36072" w:rsidRDefault="00D36072" w:rsidP="00286D45">
      <w:r>
        <w:separator/>
      </w:r>
    </w:p>
  </w:footnote>
  <w:footnote w:type="continuationSeparator" w:id="0">
    <w:p w14:paraId="4E4753A6" w14:textId="77777777" w:rsidR="00D36072" w:rsidRDefault="00D36072" w:rsidP="00286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F1DF70" w14:textId="77777777" w:rsidR="004A2F33" w:rsidRDefault="004A2F33" w:rsidP="004A2F33">
    <w:pPr>
      <w:pStyle w:val="Kopfzeile"/>
    </w:pPr>
    <w:r>
      <w:rPr>
        <w:noProof/>
      </w:rPr>
      <mc:AlternateContent>
        <mc:Choice Requires="wps">
          <w:drawing>
            <wp:anchor distT="0" distB="0" distL="114300" distR="114300" simplePos="0" relativeHeight="251657216" behindDoc="0" locked="0" layoutInCell="1" allowOverlap="1" wp14:anchorId="6D83E348" wp14:editId="2C8A83E0">
              <wp:simplePos x="0" y="0"/>
              <wp:positionH relativeFrom="column">
                <wp:posOffset>-919480</wp:posOffset>
              </wp:positionH>
              <wp:positionV relativeFrom="margin">
                <wp:align>top</wp:align>
              </wp:positionV>
              <wp:extent cx="7585710" cy="1266939"/>
              <wp:effectExtent l="0" t="0" r="0" b="0"/>
              <wp:wrapNone/>
              <wp:docPr id="12" name="Textfeld 12"/>
              <wp:cNvGraphicFramePr/>
              <a:graphic xmlns:a="http://schemas.openxmlformats.org/drawingml/2006/main">
                <a:graphicData uri="http://schemas.microsoft.com/office/word/2010/wordprocessingShape">
                  <wps:wsp>
                    <wps:cNvSpPr txBox="1"/>
                    <wps:spPr>
                      <a:xfrm>
                        <a:off x="0" y="0"/>
                        <a:ext cx="7585710" cy="1266939"/>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BCB2148" w14:textId="77777777" w:rsidR="004A2F33" w:rsidRDefault="004A2F33" w:rsidP="004C7CB4">
                          <w:pPr>
                            <w:ind w:left="1418"/>
                          </w:pPr>
                          <w:r>
                            <w:rPr>
                              <w:noProof/>
                            </w:rPr>
                            <w:drawing>
                              <wp:inline distT="0" distB="0" distL="0" distR="0" wp14:anchorId="031C8C2F" wp14:editId="3C492379">
                                <wp:extent cx="6279571" cy="747539"/>
                                <wp:effectExtent l="0" t="0" r="0" b="1905"/>
                                <wp:docPr id="87865753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reBlock_BHV_0917.jpg"/>
                                        <pic:cNvPicPr/>
                                      </pic:nvPicPr>
                                      <pic:blipFill rotWithShape="1">
                                        <a:blip r:embed="rId1">
                                          <a:extLst>
                                            <a:ext uri="{28A0092B-C50C-407E-A947-70E740481C1C}">
                                              <a14:useLocalDpi xmlns:a14="http://schemas.microsoft.com/office/drawing/2010/main" val="0"/>
                                            </a:ext>
                                          </a:extLst>
                                        </a:blip>
                                        <a:srcRect b="73562"/>
                                        <a:stretch/>
                                      </pic:blipFill>
                                      <pic:spPr bwMode="auto">
                                        <a:xfrm>
                                          <a:off x="0" y="0"/>
                                          <a:ext cx="6281928" cy="7478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83E348" id="_x0000_t202" coordsize="21600,21600" o:spt="202" path="m,l,21600r21600,l21600,xe">
              <v:stroke joinstyle="miter"/>
              <v:path gradientshapeok="t" o:connecttype="rect"/>
            </v:shapetype>
            <v:shape id="Textfeld 12" o:spid="_x0000_s1026" type="#_x0000_t202" style="position:absolute;margin-left:-72.4pt;margin-top:0;width:597.3pt;height:99.75pt;z-index:251657216;visibility:visible;mso-wrap-style:square;mso-height-percent:0;mso-wrap-distance-left:9pt;mso-wrap-distance-top:0;mso-wrap-distance-right:9pt;mso-wrap-distance-bottom:0;mso-position-horizontal:absolute;mso-position-horizontal-relative:text;mso-position-vertical:top;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" filled="f" stroked="f">
              <v:textbox>
                <w:txbxContent>
                  <w:p w14:paraId="6BCB2148" w14:textId="77777777" w:rsidR="004A2F33" w:rsidRDefault="004A2F33" w:rsidP="004C7CB4">
                    <w:pPr>
                      <w:ind w:left="1418"/>
                    </w:pPr>
                    <w:r>
                      <w:rPr>
                        <w:noProof/>
                      </w:rPr>
                      <w:drawing>
                        <wp:inline distT="0" distB="0" distL="0" distR="0" wp14:anchorId="031C8C2F" wp14:editId="3C492379">
                          <wp:extent cx="6279571" cy="747539"/>
                          <wp:effectExtent l="0" t="0" r="0" b="1905"/>
                          <wp:docPr id="87865753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reBlock_BHV_0917.jpg"/>
                                  <pic:cNvPicPr/>
                                </pic:nvPicPr>
                                <pic:blipFill rotWithShape="1">
                                  <a:blip r:embed="rId2">
                                    <a:extLst>
                                      <a:ext uri="{28A0092B-C50C-407E-A947-70E740481C1C}">
                                        <a14:useLocalDpi xmlns:a14="http://schemas.microsoft.com/office/drawing/2010/main" val="0"/>
                                      </a:ext>
                                    </a:extLst>
                                  </a:blip>
                                  <a:srcRect b="73562"/>
                                  <a:stretch/>
                                </pic:blipFill>
                                <pic:spPr bwMode="auto">
                                  <a:xfrm>
                                    <a:off x="0" y="0"/>
                                    <a:ext cx="6281928" cy="7478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y="margin"/>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E7"/>
    <w:rsid w:val="0000674E"/>
    <w:rsid w:val="000108F7"/>
    <w:rsid w:val="00033792"/>
    <w:rsid w:val="00072FAB"/>
    <w:rsid w:val="000D4FDA"/>
    <w:rsid w:val="000D7EF1"/>
    <w:rsid w:val="001B16E5"/>
    <w:rsid w:val="001D37A9"/>
    <w:rsid w:val="001D4DA1"/>
    <w:rsid w:val="001E4DD9"/>
    <w:rsid w:val="001F4BD3"/>
    <w:rsid w:val="00202535"/>
    <w:rsid w:val="002249AE"/>
    <w:rsid w:val="00237BCE"/>
    <w:rsid w:val="002758A9"/>
    <w:rsid w:val="00286669"/>
    <w:rsid w:val="00286D45"/>
    <w:rsid w:val="002B5436"/>
    <w:rsid w:val="002B6CC5"/>
    <w:rsid w:val="002E4938"/>
    <w:rsid w:val="002F7AE2"/>
    <w:rsid w:val="003469C2"/>
    <w:rsid w:val="00354560"/>
    <w:rsid w:val="00377BB9"/>
    <w:rsid w:val="00394F99"/>
    <w:rsid w:val="003A22D8"/>
    <w:rsid w:val="003B49E7"/>
    <w:rsid w:val="003D5188"/>
    <w:rsid w:val="00431605"/>
    <w:rsid w:val="0043203D"/>
    <w:rsid w:val="00434B48"/>
    <w:rsid w:val="00442761"/>
    <w:rsid w:val="004675FB"/>
    <w:rsid w:val="0047165B"/>
    <w:rsid w:val="0048011E"/>
    <w:rsid w:val="00494941"/>
    <w:rsid w:val="004A2F33"/>
    <w:rsid w:val="004B616D"/>
    <w:rsid w:val="004C7CB4"/>
    <w:rsid w:val="004D2E27"/>
    <w:rsid w:val="004E095C"/>
    <w:rsid w:val="004F6624"/>
    <w:rsid w:val="00512015"/>
    <w:rsid w:val="0052399A"/>
    <w:rsid w:val="00525F51"/>
    <w:rsid w:val="00527303"/>
    <w:rsid w:val="005346D2"/>
    <w:rsid w:val="00544B28"/>
    <w:rsid w:val="0055505F"/>
    <w:rsid w:val="00560A58"/>
    <w:rsid w:val="00565610"/>
    <w:rsid w:val="00566BD2"/>
    <w:rsid w:val="00576EE3"/>
    <w:rsid w:val="005A044A"/>
    <w:rsid w:val="005A42B1"/>
    <w:rsid w:val="005C0E96"/>
    <w:rsid w:val="005C6399"/>
    <w:rsid w:val="005D0F61"/>
    <w:rsid w:val="005D1334"/>
    <w:rsid w:val="00632D45"/>
    <w:rsid w:val="006446FB"/>
    <w:rsid w:val="00651A0C"/>
    <w:rsid w:val="006C3AAB"/>
    <w:rsid w:val="006D019C"/>
    <w:rsid w:val="006F0639"/>
    <w:rsid w:val="006F4980"/>
    <w:rsid w:val="007052D0"/>
    <w:rsid w:val="007253E9"/>
    <w:rsid w:val="00727F7A"/>
    <w:rsid w:val="00736B0A"/>
    <w:rsid w:val="00771143"/>
    <w:rsid w:val="007C207A"/>
    <w:rsid w:val="007D0E2A"/>
    <w:rsid w:val="008149BB"/>
    <w:rsid w:val="00823E0F"/>
    <w:rsid w:val="00824FEA"/>
    <w:rsid w:val="008257A2"/>
    <w:rsid w:val="00835F07"/>
    <w:rsid w:val="0086398F"/>
    <w:rsid w:val="00863B8D"/>
    <w:rsid w:val="00865A6F"/>
    <w:rsid w:val="0088010B"/>
    <w:rsid w:val="0088421C"/>
    <w:rsid w:val="008A5CB3"/>
    <w:rsid w:val="008A7A09"/>
    <w:rsid w:val="008C4926"/>
    <w:rsid w:val="008D3281"/>
    <w:rsid w:val="008F529B"/>
    <w:rsid w:val="00903426"/>
    <w:rsid w:val="00906807"/>
    <w:rsid w:val="00910130"/>
    <w:rsid w:val="00956A18"/>
    <w:rsid w:val="00967746"/>
    <w:rsid w:val="009807CB"/>
    <w:rsid w:val="00987037"/>
    <w:rsid w:val="009A3A4B"/>
    <w:rsid w:val="009C006E"/>
    <w:rsid w:val="009D0939"/>
    <w:rsid w:val="009D6E24"/>
    <w:rsid w:val="009E5491"/>
    <w:rsid w:val="009E7BA8"/>
    <w:rsid w:val="00A1084D"/>
    <w:rsid w:val="00A21037"/>
    <w:rsid w:val="00A257EA"/>
    <w:rsid w:val="00A57287"/>
    <w:rsid w:val="00A64A9C"/>
    <w:rsid w:val="00A73095"/>
    <w:rsid w:val="00AB4B79"/>
    <w:rsid w:val="00AE43AC"/>
    <w:rsid w:val="00AF76AE"/>
    <w:rsid w:val="00AF7945"/>
    <w:rsid w:val="00B23C9C"/>
    <w:rsid w:val="00B255E8"/>
    <w:rsid w:val="00B51CEC"/>
    <w:rsid w:val="00B642F3"/>
    <w:rsid w:val="00B74988"/>
    <w:rsid w:val="00B82EA4"/>
    <w:rsid w:val="00BA5D68"/>
    <w:rsid w:val="00BC6BBD"/>
    <w:rsid w:val="00BD1830"/>
    <w:rsid w:val="00BD4F2D"/>
    <w:rsid w:val="00C041F1"/>
    <w:rsid w:val="00C24DAB"/>
    <w:rsid w:val="00C277EF"/>
    <w:rsid w:val="00C3424D"/>
    <w:rsid w:val="00C42FE0"/>
    <w:rsid w:val="00C76B4E"/>
    <w:rsid w:val="00C80DE6"/>
    <w:rsid w:val="00C97BCE"/>
    <w:rsid w:val="00CC1BDB"/>
    <w:rsid w:val="00D058AA"/>
    <w:rsid w:val="00D1102C"/>
    <w:rsid w:val="00D15E03"/>
    <w:rsid w:val="00D36072"/>
    <w:rsid w:val="00D44387"/>
    <w:rsid w:val="00D51E6A"/>
    <w:rsid w:val="00D744BB"/>
    <w:rsid w:val="00D8527F"/>
    <w:rsid w:val="00DF1ECF"/>
    <w:rsid w:val="00E34AE6"/>
    <w:rsid w:val="00E4387C"/>
    <w:rsid w:val="00E52337"/>
    <w:rsid w:val="00E902B0"/>
    <w:rsid w:val="00E9573A"/>
    <w:rsid w:val="00EA1A5B"/>
    <w:rsid w:val="00EA3192"/>
    <w:rsid w:val="00EA46AB"/>
    <w:rsid w:val="00EE6992"/>
    <w:rsid w:val="00EE6A11"/>
    <w:rsid w:val="00EF3176"/>
    <w:rsid w:val="00F2119E"/>
    <w:rsid w:val="00F31F61"/>
    <w:rsid w:val="00FA2695"/>
    <w:rsid w:val="00FB5CB2"/>
    <w:rsid w:val="00FD3451"/>
    <w:rsid w:val="00FF2D4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8133A4"/>
  <w14:defaultImageDpi w14:val="300"/>
  <w15:docId w15:val="{BEFAFC28-CCC4-034F-908A-C52C3AD3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6D45"/>
    <w:pPr>
      <w:tabs>
        <w:tab w:val="center" w:pos="4536"/>
        <w:tab w:val="right" w:pos="9072"/>
      </w:tabs>
    </w:pPr>
  </w:style>
  <w:style w:type="character" w:customStyle="1" w:styleId="KopfzeileZchn">
    <w:name w:val="Kopfzeile Zchn"/>
    <w:basedOn w:val="Absatz-Standardschriftart"/>
    <w:link w:val="Kopfzeile"/>
    <w:uiPriority w:val="99"/>
    <w:rsid w:val="00286D45"/>
  </w:style>
  <w:style w:type="paragraph" w:styleId="Fuzeile">
    <w:name w:val="footer"/>
    <w:basedOn w:val="Standard"/>
    <w:link w:val="FuzeileZchn"/>
    <w:uiPriority w:val="99"/>
    <w:unhideWhenUsed/>
    <w:rsid w:val="00286D45"/>
    <w:pPr>
      <w:tabs>
        <w:tab w:val="center" w:pos="4536"/>
        <w:tab w:val="right" w:pos="9072"/>
      </w:tabs>
    </w:pPr>
  </w:style>
  <w:style w:type="character" w:customStyle="1" w:styleId="FuzeileZchn">
    <w:name w:val="Fußzeile Zchn"/>
    <w:basedOn w:val="Absatz-Standardschriftart"/>
    <w:link w:val="Fuzeile"/>
    <w:uiPriority w:val="99"/>
    <w:rsid w:val="00286D45"/>
  </w:style>
  <w:style w:type="paragraph" w:styleId="Sprechblasentext">
    <w:name w:val="Balloon Text"/>
    <w:basedOn w:val="Standard"/>
    <w:link w:val="SprechblasentextZchn"/>
    <w:uiPriority w:val="99"/>
    <w:semiHidden/>
    <w:unhideWhenUsed/>
    <w:rsid w:val="00286D4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86D45"/>
    <w:rPr>
      <w:rFonts w:ascii="Lucida Grande" w:hAnsi="Lucida Grande" w:cs="Lucida Grande"/>
      <w:sz w:val="18"/>
      <w:szCs w:val="18"/>
    </w:rPr>
  </w:style>
  <w:style w:type="paragraph" w:customStyle="1" w:styleId="EinfAbs">
    <w:name w:val="[Einf. Abs.]"/>
    <w:basedOn w:val="Standard"/>
    <w:uiPriority w:val="99"/>
    <w:rsid w:val="00286D4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Absatz-Standardschriftart"/>
    <w:uiPriority w:val="99"/>
    <w:unhideWhenUsed/>
    <w:rsid w:val="00824FEA"/>
    <w:rPr>
      <w:color w:val="0000FF" w:themeColor="hyperlink"/>
      <w:u w:val="single"/>
    </w:rPr>
  </w:style>
  <w:style w:type="character" w:styleId="NichtaufgelsteErwhnung">
    <w:name w:val="Unresolved Mention"/>
    <w:basedOn w:val="Absatz-Standardschriftart"/>
    <w:uiPriority w:val="99"/>
    <w:semiHidden/>
    <w:unhideWhenUsed/>
    <w:rsid w:val="00824FEA"/>
    <w:rPr>
      <w:color w:val="605E5C"/>
      <w:shd w:val="clear" w:color="auto" w:fill="E1DFDD"/>
    </w:rPr>
  </w:style>
  <w:style w:type="paragraph" w:styleId="StandardWeb">
    <w:name w:val="Normal (Web)"/>
    <w:basedOn w:val="Standard"/>
    <w:uiPriority w:val="99"/>
    <w:unhideWhenUsed/>
    <w:rsid w:val="00EA319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1482936">
      <w:bodyDiv w:val="1"/>
      <w:marLeft w:val="0"/>
      <w:marRight w:val="0"/>
      <w:marTop w:val="0"/>
      <w:marBottom w:val="0"/>
      <w:divBdr>
        <w:top w:val="none" w:sz="0" w:space="0" w:color="auto"/>
        <w:left w:val="none" w:sz="0" w:space="0" w:color="auto"/>
        <w:bottom w:val="none" w:sz="0" w:space="0" w:color="auto"/>
        <w:right w:val="none" w:sz="0" w:space="0" w:color="auto"/>
      </w:divBdr>
      <w:divsChild>
        <w:div w:id="1357921648">
          <w:marLeft w:val="0"/>
          <w:marRight w:val="0"/>
          <w:marTop w:val="0"/>
          <w:marBottom w:val="0"/>
          <w:divBdr>
            <w:top w:val="none" w:sz="0" w:space="0" w:color="auto"/>
            <w:left w:val="none" w:sz="0" w:space="0" w:color="auto"/>
            <w:bottom w:val="none" w:sz="0" w:space="0" w:color="auto"/>
            <w:right w:val="none" w:sz="0" w:space="0" w:color="auto"/>
          </w:divBdr>
          <w:divsChild>
            <w:div w:id="1244022991">
              <w:marLeft w:val="0"/>
              <w:marRight w:val="0"/>
              <w:marTop w:val="0"/>
              <w:marBottom w:val="0"/>
              <w:divBdr>
                <w:top w:val="none" w:sz="0" w:space="0" w:color="auto"/>
                <w:left w:val="none" w:sz="0" w:space="0" w:color="auto"/>
                <w:bottom w:val="none" w:sz="0" w:space="0" w:color="auto"/>
                <w:right w:val="none" w:sz="0" w:space="0" w:color="auto"/>
              </w:divBdr>
              <w:divsChild>
                <w:div w:id="1367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53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BFAE-C864-4376-8E46-D67FAB38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2118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IKL - Idee, Konzept, Layout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Katharina Poppe</cp:lastModifiedBy>
  <cp:revision>10</cp:revision>
  <cp:lastPrinted>2026-04-21T06:01:00Z</cp:lastPrinted>
  <dcterms:created xsi:type="dcterms:W3CDTF">2026-07-16T08:58:00Z</dcterms:created>
  <dcterms:modified xsi:type="dcterms:W3CDTF">2026-07-31T06:20:00Z</dcterms:modified>
</cp:coreProperties>
</file>